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9AF" w:rsidRPr="003C63F2" w:rsidRDefault="00F030DA"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p>
    <w:p w:rsidR="004A19AF" w:rsidRPr="003C63F2" w:rsidRDefault="00F030DA" w:rsidP="003C63F2">
      <w:pPr>
        <w:pStyle w:val="Title3"/>
      </w:pPr>
      <w:r w:rsidRPr="003C63F2">
        <w:t>Addendum</w:t>
      </w:r>
    </w:p>
    <w:p w:rsidR="004A19AF" w:rsidRPr="003C63F2" w:rsidRDefault="00F030DA" w:rsidP="003C63F2">
      <w:r w:rsidRPr="003C63F2">
        <w:t xml:space="preserve">The following communication, received on </w:t>
      </w:r>
      <w:bookmarkStart w:id="0" w:name="spsDateCommunication"/>
      <w:bookmarkStart w:id="1" w:name="spsDateReception"/>
      <w:r w:rsidRPr="003C63F2">
        <w:t>31 August 2018</w:t>
      </w:r>
      <w:bookmarkEnd w:id="0"/>
      <w:bookmarkEnd w:id="1"/>
      <w:r w:rsidRPr="003C63F2">
        <w:t xml:space="preserve">, is being circulated at the request of the Delegation of </w:t>
      </w:r>
      <w:bookmarkStart w:id="2" w:name="spsMember"/>
      <w:r w:rsidRPr="003C63F2">
        <w:rPr>
          <w:u w:val="single"/>
        </w:rPr>
        <w:t>Australia</w:t>
      </w:r>
      <w:bookmarkEnd w:id="2"/>
      <w:r w:rsidRPr="003C63F2">
        <w:t>.</w:t>
      </w:r>
    </w:p>
    <w:p w:rsidR="004A19AF" w:rsidRPr="003C63F2" w:rsidRDefault="0033199D" w:rsidP="003C63F2"/>
    <w:p w:rsidR="004A19AF" w:rsidRPr="003C63F2" w:rsidRDefault="00F030DA" w:rsidP="003C63F2">
      <w:pPr>
        <w:jc w:val="center"/>
        <w:rPr>
          <w:b/>
        </w:rPr>
      </w:pPr>
      <w:r w:rsidRPr="003C63F2">
        <w:rPr>
          <w:b/>
        </w:rPr>
        <w:t>_______________</w:t>
      </w:r>
    </w:p>
    <w:p w:rsidR="004A19AF" w:rsidRPr="003C63F2" w:rsidRDefault="0033199D" w:rsidP="003C63F2"/>
    <w:p w:rsidR="004A19AF" w:rsidRPr="003C63F2" w:rsidRDefault="0033199D" w:rsidP="003C63F2"/>
    <w:tbl>
      <w:tblPr>
        <w:tblW w:w="0" w:type="auto"/>
        <w:tblLayout w:type="fixed"/>
        <w:tblLook w:val="01E0" w:firstRow="1" w:lastRow="1" w:firstColumn="1" w:lastColumn="1" w:noHBand="0" w:noVBand="0"/>
      </w:tblPr>
      <w:tblGrid>
        <w:gridCol w:w="9242"/>
      </w:tblGrid>
      <w:tr w:rsidR="004C7F5E" w:rsidTr="00C10B2E">
        <w:tc>
          <w:tcPr>
            <w:tcW w:w="9242" w:type="dxa"/>
            <w:shd w:val="clear" w:color="auto" w:fill="auto"/>
          </w:tcPr>
          <w:p w:rsidR="004A19AF" w:rsidRPr="003C63F2" w:rsidRDefault="00F030DA" w:rsidP="003C63F2">
            <w:pPr>
              <w:spacing w:after="240"/>
              <w:rPr>
                <w:u w:val="single"/>
              </w:rPr>
            </w:pPr>
            <w:bookmarkStart w:id="3" w:name="_GoBack"/>
            <w:r>
              <w:rPr>
                <w:u w:val="single"/>
              </w:rPr>
              <w:t>Revised measures for specific sea freight consignments of cargo to manage Brown Marmorated Stink Bugs from all ports that load cargo manufactured or stored in target risk countries France, Georgia, Germany, Greece, Hungary, Italy, Romania, Russia and United States of America</w:t>
            </w:r>
            <w:bookmarkStart w:id="4" w:name="spsTitle"/>
            <w:bookmarkEnd w:id="4"/>
          </w:p>
        </w:tc>
      </w:tr>
      <w:bookmarkEnd w:id="3"/>
      <w:tr w:rsidR="004C7F5E" w:rsidTr="00C10B2E">
        <w:tc>
          <w:tcPr>
            <w:tcW w:w="9242" w:type="dxa"/>
            <w:shd w:val="clear" w:color="auto" w:fill="auto"/>
          </w:tcPr>
          <w:p w:rsidR="003E35A2" w:rsidRPr="00934B4C" w:rsidRDefault="003E35A2" w:rsidP="003E35A2">
            <w:pPr>
              <w:spacing w:after="120"/>
              <w:rPr>
                <w:u w:val="single"/>
              </w:rPr>
            </w:pPr>
            <w:r>
              <w:t>This notification advises that revised phytosanitary measures have been introduced for the importation of certain goods manufactured in or shipped from target risk countries listed. These measures are required to effectively manage the biosecurity risk from brown marmorated stink bugs (BMSB) and to achieve Australia's appropriate level of protection.</w:t>
            </w:r>
          </w:p>
          <w:p w:rsidR="003E35A2" w:rsidRDefault="003E35A2" w:rsidP="003E35A2">
            <w:pPr>
              <w:spacing w:after="120"/>
            </w:pPr>
            <w:r>
              <w:t>All target high risk break bulk and containerised goods from target risk countries will now require mandatory treatment as of 1 September 2018 as per measures announced previously in August 2017 (G/SPS/N/AUS/432).</w:t>
            </w:r>
          </w:p>
          <w:p w:rsidR="003E35A2" w:rsidRDefault="003E35A2" w:rsidP="003E35A2">
            <w:r>
              <w:t>Treatment measures for BMSB are:</w:t>
            </w:r>
          </w:p>
          <w:p w:rsidR="003E35A2" w:rsidRDefault="003E35A2" w:rsidP="003E35A2">
            <w:pPr>
              <w:numPr>
                <w:ilvl w:val="0"/>
                <w:numId w:val="16"/>
              </w:numPr>
              <w:ind w:left="334" w:hanging="357"/>
            </w:pPr>
            <w:r>
              <w:t>Methyl bromide</w:t>
            </w:r>
          </w:p>
          <w:p w:rsidR="003E35A2" w:rsidRDefault="003E35A2" w:rsidP="003E35A2">
            <w:pPr>
              <w:numPr>
                <w:ilvl w:val="0"/>
                <w:numId w:val="17"/>
              </w:numPr>
              <w:tabs>
                <w:tab w:val="left" w:pos="784"/>
              </w:tabs>
              <w:ind w:hanging="354"/>
            </w:pPr>
            <w:r>
              <w:t>A dose of 16g/m</w:t>
            </w:r>
            <w:r w:rsidRPr="000714D7">
              <w:rPr>
                <w:vertAlign w:val="superscript"/>
              </w:rPr>
              <w:t>3</w:t>
            </w:r>
            <w:r>
              <w:t xml:space="preserve"> or above, at 15°C or above, for 12 hours or longer, with </w:t>
            </w:r>
            <w:proofErr w:type="gramStart"/>
            <w:r>
              <w:t>an end point</w:t>
            </w:r>
            <w:proofErr w:type="gramEnd"/>
            <w:r>
              <w:t xml:space="preserve"> reading of 50% or more of the initial concentration.</w:t>
            </w:r>
          </w:p>
          <w:p w:rsidR="003E35A2" w:rsidRDefault="003E35A2" w:rsidP="003E35A2">
            <w:pPr>
              <w:numPr>
                <w:ilvl w:val="0"/>
                <w:numId w:val="16"/>
              </w:numPr>
              <w:ind w:left="334" w:hanging="357"/>
            </w:pPr>
            <w:r>
              <w:t>Heat</w:t>
            </w:r>
          </w:p>
          <w:p w:rsidR="003E35A2" w:rsidRDefault="003E35A2" w:rsidP="003E35A2">
            <w:pPr>
              <w:numPr>
                <w:ilvl w:val="0"/>
                <w:numId w:val="17"/>
              </w:numPr>
              <w:tabs>
                <w:tab w:val="left" w:pos="784"/>
              </w:tabs>
              <w:ind w:hanging="354"/>
            </w:pPr>
            <w:r>
              <w:t>At 50°C or higher for at least 20 minutes. The minimum temperature of the coldest part of the treated good should reach at least 50°C for at least 20 minutes.</w:t>
            </w:r>
          </w:p>
          <w:p w:rsidR="003E35A2" w:rsidRDefault="003E35A2" w:rsidP="003E35A2">
            <w:pPr>
              <w:numPr>
                <w:ilvl w:val="0"/>
                <w:numId w:val="16"/>
              </w:numPr>
              <w:ind w:left="334" w:hanging="357"/>
            </w:pPr>
            <w:r>
              <w:t>Sulfuryl fluoride</w:t>
            </w:r>
          </w:p>
          <w:p w:rsidR="003E35A2" w:rsidRDefault="003E35A2" w:rsidP="003E35A2">
            <w:pPr>
              <w:numPr>
                <w:ilvl w:val="0"/>
                <w:numId w:val="17"/>
              </w:numPr>
              <w:tabs>
                <w:tab w:val="left" w:pos="784"/>
              </w:tabs>
              <w:ind w:hanging="354"/>
            </w:pPr>
            <w:r>
              <w:t xml:space="preserve">Treatment providers not using an approved </w:t>
            </w:r>
            <w:proofErr w:type="gramStart"/>
            <w:r>
              <w:t>third party</w:t>
            </w:r>
            <w:proofErr w:type="gramEnd"/>
            <w:r>
              <w:t xml:space="preserve"> program</w:t>
            </w:r>
            <w:r w:rsidRPr="000714D7">
              <w:rPr>
                <w:vertAlign w:val="superscript"/>
              </w:rPr>
              <w:t>*</w:t>
            </w:r>
          </w:p>
          <w:p w:rsidR="003E35A2" w:rsidRDefault="003E35A2" w:rsidP="003E35A2">
            <w:pPr>
              <w:numPr>
                <w:ilvl w:val="1"/>
                <w:numId w:val="18"/>
              </w:numPr>
              <w:ind w:left="1134"/>
            </w:pPr>
            <w:r>
              <w:t>A dose of 24g/m</w:t>
            </w:r>
            <w:r w:rsidRPr="000714D7">
              <w:rPr>
                <w:vertAlign w:val="superscript"/>
              </w:rPr>
              <w:t>3</w:t>
            </w:r>
            <w:r>
              <w:t xml:space="preserve"> or above, at 10°C or above, for 12 hours or longer, with a minimum </w:t>
            </w:r>
            <w:proofErr w:type="gramStart"/>
            <w:r>
              <w:t>end point</w:t>
            </w:r>
            <w:proofErr w:type="gramEnd"/>
            <w:r>
              <w:t xml:space="preserve"> concentration of 12g/m</w:t>
            </w:r>
            <w:r w:rsidRPr="000714D7">
              <w:rPr>
                <w:vertAlign w:val="superscript"/>
              </w:rPr>
              <w:t>3</w:t>
            </w:r>
            <w:r>
              <w:t>; or</w:t>
            </w:r>
          </w:p>
          <w:p w:rsidR="003E35A2" w:rsidRDefault="003E35A2" w:rsidP="003E35A2">
            <w:pPr>
              <w:numPr>
                <w:ilvl w:val="1"/>
                <w:numId w:val="18"/>
              </w:numPr>
              <w:ind w:left="1134"/>
            </w:pPr>
            <w:r>
              <w:t>A dose of 16g/m</w:t>
            </w:r>
            <w:r w:rsidRPr="000714D7">
              <w:rPr>
                <w:vertAlign w:val="superscript"/>
              </w:rPr>
              <w:t>3</w:t>
            </w:r>
            <w:r>
              <w:t xml:space="preserve"> or above, at 10 °C or above, for 24 hours or longer, with a minimum </w:t>
            </w:r>
            <w:proofErr w:type="gramStart"/>
            <w:r>
              <w:t>end point</w:t>
            </w:r>
            <w:proofErr w:type="gramEnd"/>
            <w:r>
              <w:t xml:space="preserve"> concentration of 8g/m</w:t>
            </w:r>
            <w:r w:rsidRPr="000714D7">
              <w:rPr>
                <w:vertAlign w:val="superscript"/>
              </w:rPr>
              <w:t>3</w:t>
            </w:r>
            <w:r>
              <w:t>.</w:t>
            </w:r>
          </w:p>
          <w:p w:rsidR="003E35A2" w:rsidRDefault="003E35A2" w:rsidP="003E35A2">
            <w:pPr>
              <w:numPr>
                <w:ilvl w:val="0"/>
                <w:numId w:val="17"/>
              </w:numPr>
              <w:tabs>
                <w:tab w:val="left" w:pos="784"/>
              </w:tabs>
              <w:ind w:hanging="354"/>
            </w:pPr>
            <w:r>
              <w:t xml:space="preserve">Treatment providers using an approved </w:t>
            </w:r>
            <w:proofErr w:type="gramStart"/>
            <w:r>
              <w:t>third party</w:t>
            </w:r>
            <w:proofErr w:type="gramEnd"/>
            <w:r>
              <w:t xml:space="preserve"> program</w:t>
            </w:r>
            <w:r w:rsidRPr="000714D7">
              <w:rPr>
                <w:vertAlign w:val="superscript"/>
              </w:rPr>
              <w:t>*</w:t>
            </w:r>
          </w:p>
          <w:p w:rsidR="003E35A2" w:rsidRDefault="003E35A2" w:rsidP="003E35A2">
            <w:pPr>
              <w:numPr>
                <w:ilvl w:val="1"/>
                <w:numId w:val="18"/>
              </w:numPr>
              <w:ind w:left="1134"/>
            </w:pPr>
            <w:r>
              <w:t>Achieve a CT of 200g-h/m</w:t>
            </w:r>
            <w:r w:rsidRPr="000714D7">
              <w:rPr>
                <w:vertAlign w:val="superscript"/>
              </w:rPr>
              <w:t>3</w:t>
            </w:r>
            <w:r>
              <w:t xml:space="preserve"> or more, while conducting the treatment at 10°C or above, for 12 hours or longer, with a minimum </w:t>
            </w:r>
            <w:proofErr w:type="gramStart"/>
            <w:r>
              <w:t>end point</w:t>
            </w:r>
            <w:proofErr w:type="gramEnd"/>
            <w:r>
              <w:t xml:space="preserve"> concentration of 12g/m</w:t>
            </w:r>
            <w:r w:rsidRPr="000714D7">
              <w:rPr>
                <w:vertAlign w:val="superscript"/>
              </w:rPr>
              <w:t>3</w:t>
            </w:r>
            <w:r>
              <w:t xml:space="preserve">; or </w:t>
            </w:r>
          </w:p>
          <w:p w:rsidR="003E35A2" w:rsidRDefault="003E35A2" w:rsidP="003E35A2">
            <w:pPr>
              <w:numPr>
                <w:ilvl w:val="1"/>
                <w:numId w:val="18"/>
              </w:numPr>
              <w:ind w:left="1134"/>
            </w:pPr>
            <w:r>
              <w:t>Achieve a CT of 200g-h/m</w:t>
            </w:r>
            <w:r w:rsidRPr="000714D7">
              <w:rPr>
                <w:vertAlign w:val="superscript"/>
              </w:rPr>
              <w:t>3</w:t>
            </w:r>
            <w:r>
              <w:t xml:space="preserve"> or more, while conducting the treatment at 10°C or above, for 24 hours or longer, with a minimum </w:t>
            </w:r>
            <w:proofErr w:type="gramStart"/>
            <w:r>
              <w:t>end point</w:t>
            </w:r>
            <w:proofErr w:type="gramEnd"/>
            <w:r>
              <w:t xml:space="preserve"> concentration of 8g/m</w:t>
            </w:r>
            <w:r w:rsidRPr="000714D7">
              <w:rPr>
                <w:vertAlign w:val="superscript"/>
              </w:rPr>
              <w:t>3</w:t>
            </w:r>
            <w:r>
              <w:t>.</w:t>
            </w:r>
          </w:p>
          <w:p w:rsidR="003E35A2" w:rsidRDefault="003E35A2" w:rsidP="003E35A2">
            <w:r w:rsidRPr="000714D7">
              <w:rPr>
                <w:vertAlign w:val="superscript"/>
              </w:rPr>
              <w:t>*</w:t>
            </w:r>
            <w:r>
              <w:t xml:space="preserve"> The approved </w:t>
            </w:r>
            <w:proofErr w:type="gramStart"/>
            <w:r>
              <w:t>third party</w:t>
            </w:r>
            <w:proofErr w:type="gramEnd"/>
            <w:r>
              <w:t xml:space="preserve"> programs are:</w:t>
            </w:r>
          </w:p>
          <w:p w:rsidR="003E35A2" w:rsidRDefault="003E35A2" w:rsidP="003E35A2">
            <w:pPr>
              <w:numPr>
                <w:ilvl w:val="0"/>
                <w:numId w:val="16"/>
              </w:numPr>
              <w:ind w:left="334" w:hanging="357"/>
            </w:pPr>
            <w:r>
              <w:t xml:space="preserve">Douglas Products </w:t>
            </w:r>
            <w:proofErr w:type="spellStart"/>
            <w:r>
              <w:t>Fumiguide</w:t>
            </w:r>
            <w:proofErr w:type="spellEnd"/>
            <w:r>
              <w:t xml:space="preserve">; </w:t>
            </w:r>
          </w:p>
          <w:p w:rsidR="003E35A2" w:rsidRDefault="003E35A2" w:rsidP="003E35A2">
            <w:pPr>
              <w:numPr>
                <w:ilvl w:val="0"/>
                <w:numId w:val="16"/>
              </w:numPr>
              <w:spacing w:after="120"/>
              <w:ind w:left="334" w:hanging="357"/>
            </w:pPr>
            <w:proofErr w:type="spellStart"/>
            <w:r>
              <w:t>Ensystex</w:t>
            </w:r>
            <w:proofErr w:type="spellEnd"/>
            <w:r>
              <w:t xml:space="preserve"> II, Inc </w:t>
            </w:r>
            <w:proofErr w:type="spellStart"/>
            <w:r>
              <w:t>Fumicalc</w:t>
            </w:r>
            <w:proofErr w:type="spellEnd"/>
            <w:r>
              <w:t>.</w:t>
            </w:r>
          </w:p>
          <w:p w:rsidR="003E35A2" w:rsidRDefault="003E35A2" w:rsidP="003E35A2">
            <w:pPr>
              <w:spacing w:after="120"/>
            </w:pPr>
            <w:r>
              <w:t xml:space="preserve">Further information on the revised phytosanitary measure is available at: </w:t>
            </w:r>
            <w:hyperlink r:id="rId7" w:tgtFrame="_blank" w:history="1">
              <w:r>
                <w:rPr>
                  <w:color w:val="0000FF"/>
                  <w:u w:val="single"/>
                </w:rPr>
                <w:t>http://www.agriculture.gov.au/bmsb</w:t>
              </w:r>
            </w:hyperlink>
            <w:r>
              <w:t>.</w:t>
            </w:r>
          </w:p>
          <w:p w:rsidR="003E35A2" w:rsidRDefault="003E35A2" w:rsidP="003E35A2">
            <w:r>
              <w:t xml:space="preserve">A draft pest risk analysis report that identifies BMSB as a pest requiring risk management measures </w:t>
            </w:r>
            <w:proofErr w:type="gramStart"/>
            <w:r>
              <w:t>in order to</w:t>
            </w:r>
            <w:proofErr w:type="gramEnd"/>
            <w:r>
              <w:t xml:space="preserve"> achieve the appropriate level of protection for Australia was released in August 2017 and is available at:</w:t>
            </w:r>
          </w:p>
          <w:p w:rsidR="004C7F5E" w:rsidRDefault="0033199D" w:rsidP="003E35A2">
            <w:pPr>
              <w:spacing w:after="240"/>
            </w:pPr>
            <w:hyperlink r:id="rId8" w:tgtFrame="_blank" w:history="1">
              <w:r w:rsidR="003E35A2">
                <w:rPr>
                  <w:color w:val="0000FF"/>
                  <w:u w:val="single"/>
                </w:rPr>
                <w:t>http://www.agriculture.gov.au/biosecurity/risk-analysis/memos/ba2017-18</w:t>
              </w:r>
            </w:hyperlink>
            <w:r w:rsidR="003E35A2">
              <w:t>.</w:t>
            </w:r>
            <w:bookmarkStart w:id="5" w:name="spsMeasure"/>
            <w:bookmarkEnd w:id="5"/>
          </w:p>
        </w:tc>
      </w:tr>
      <w:tr w:rsidR="004C7F5E" w:rsidRPr="007E3434" w:rsidTr="00C10B2E">
        <w:tc>
          <w:tcPr>
            <w:tcW w:w="9242" w:type="dxa"/>
            <w:shd w:val="clear" w:color="auto" w:fill="auto"/>
          </w:tcPr>
          <w:p w:rsidR="004A19AF" w:rsidRPr="007E3434" w:rsidRDefault="00F030DA" w:rsidP="003C63F2">
            <w:pPr>
              <w:spacing w:after="240"/>
              <w:rPr>
                <w:b/>
              </w:rPr>
            </w:pPr>
            <w:r w:rsidRPr="007E3434">
              <w:rPr>
                <w:b/>
              </w:rPr>
              <w:lastRenderedPageBreak/>
              <w:t>This addendum concerns a:</w:t>
            </w:r>
          </w:p>
        </w:tc>
      </w:tr>
      <w:tr w:rsidR="004C7F5E" w:rsidRPr="007E3434" w:rsidTr="00C10B2E">
        <w:tc>
          <w:tcPr>
            <w:tcW w:w="9242" w:type="dxa"/>
            <w:shd w:val="clear" w:color="auto" w:fill="auto"/>
          </w:tcPr>
          <w:p w:rsidR="004A19AF" w:rsidRPr="007E3434" w:rsidRDefault="00F030DA" w:rsidP="003C63F2">
            <w:pPr>
              <w:ind w:left="1440" w:hanging="873"/>
            </w:pPr>
            <w:r w:rsidRPr="007E3434">
              <w:t>[ ]</w:t>
            </w:r>
            <w:bookmarkStart w:id="6" w:name="spsModificationComment"/>
            <w:bookmarkEnd w:id="6"/>
            <w:r w:rsidRPr="007E3434">
              <w:tab/>
              <w:t>Modification of final date for comments</w:t>
            </w:r>
          </w:p>
        </w:tc>
      </w:tr>
      <w:tr w:rsidR="004C7F5E" w:rsidRPr="007E3434" w:rsidTr="00C10B2E">
        <w:tc>
          <w:tcPr>
            <w:tcW w:w="9242" w:type="dxa"/>
            <w:shd w:val="clear" w:color="auto" w:fill="auto"/>
          </w:tcPr>
          <w:p w:rsidR="004A19AF" w:rsidRPr="007E3434" w:rsidRDefault="00F030DA" w:rsidP="003C63F2">
            <w:pPr>
              <w:ind w:left="1440" w:hanging="873"/>
            </w:pPr>
            <w:r w:rsidRPr="007E3434">
              <w:t>[</w:t>
            </w:r>
            <w:bookmarkStart w:id="7" w:name="spsModificationContent"/>
            <w:r w:rsidRPr="007E3434">
              <w:rPr>
                <w:b/>
              </w:rPr>
              <w:t>X</w:t>
            </w:r>
            <w:bookmarkEnd w:id="7"/>
            <w:r w:rsidRPr="007E3434">
              <w:t>]</w:t>
            </w:r>
            <w:r w:rsidRPr="007E3434">
              <w:tab/>
              <w:t>Modification of content and/or scope of previously notified regulation</w:t>
            </w:r>
          </w:p>
        </w:tc>
      </w:tr>
      <w:tr w:rsidR="004C7F5E" w:rsidRPr="007E3434" w:rsidTr="00C10B2E">
        <w:tc>
          <w:tcPr>
            <w:tcW w:w="9242" w:type="dxa"/>
            <w:shd w:val="clear" w:color="auto" w:fill="auto"/>
          </w:tcPr>
          <w:p w:rsidR="004A19AF" w:rsidRPr="007E3434" w:rsidRDefault="00F030DA" w:rsidP="003C63F2">
            <w:pPr>
              <w:ind w:left="1440" w:hanging="873"/>
            </w:pPr>
            <w:r w:rsidRPr="007E3434">
              <w:t>[ ]</w:t>
            </w:r>
            <w:bookmarkStart w:id="8" w:name="spsWithdraw"/>
            <w:bookmarkEnd w:id="8"/>
            <w:r w:rsidRPr="007E3434">
              <w:tab/>
              <w:t>Withdrawal of regulation</w:t>
            </w:r>
          </w:p>
        </w:tc>
      </w:tr>
      <w:tr w:rsidR="004C7F5E" w:rsidRPr="007E3434" w:rsidTr="00C10B2E">
        <w:tc>
          <w:tcPr>
            <w:tcW w:w="9242" w:type="dxa"/>
            <w:shd w:val="clear" w:color="auto" w:fill="auto"/>
          </w:tcPr>
          <w:p w:rsidR="004A19AF" w:rsidRPr="007E3434" w:rsidRDefault="00F030DA" w:rsidP="003C63F2">
            <w:pPr>
              <w:ind w:left="1440" w:hanging="873"/>
            </w:pPr>
            <w:r w:rsidRPr="007E3434">
              <w:t>[ ]</w:t>
            </w:r>
            <w:bookmarkStart w:id="9" w:name="spsModificationDate"/>
            <w:bookmarkEnd w:id="9"/>
            <w:r w:rsidRPr="007E3434">
              <w:tab/>
              <w:t>Change in period of application of measure</w:t>
            </w:r>
          </w:p>
        </w:tc>
      </w:tr>
      <w:tr w:rsidR="004C7F5E" w:rsidTr="00C10B2E">
        <w:tc>
          <w:tcPr>
            <w:tcW w:w="9242" w:type="dxa"/>
            <w:shd w:val="clear" w:color="auto" w:fill="auto"/>
          </w:tcPr>
          <w:p w:rsidR="004A19AF" w:rsidRPr="003C63F2" w:rsidRDefault="00F030DA" w:rsidP="003C63F2">
            <w:pPr>
              <w:spacing w:after="240"/>
              <w:ind w:left="1440" w:hanging="873"/>
            </w:pPr>
            <w:r w:rsidRPr="007E3434">
              <w:t>[ ]</w:t>
            </w:r>
            <w:bookmarkStart w:id="10" w:name="spsModificationOther"/>
            <w:bookmarkEnd w:id="10"/>
            <w:r w:rsidRPr="007E3434">
              <w:tab/>
              <w:t>Other:</w:t>
            </w:r>
            <w:r w:rsidRPr="003C63F2">
              <w:t xml:space="preserve"> </w:t>
            </w:r>
            <w:bookmarkStart w:id="11" w:name="spsModificationOtherText"/>
            <w:bookmarkEnd w:id="11"/>
          </w:p>
        </w:tc>
      </w:tr>
      <w:tr w:rsidR="004C7F5E" w:rsidTr="00C10B2E">
        <w:tc>
          <w:tcPr>
            <w:tcW w:w="9242" w:type="dxa"/>
            <w:shd w:val="clear" w:color="auto" w:fill="auto"/>
          </w:tcPr>
          <w:p w:rsidR="004A19AF" w:rsidRPr="003C63F2" w:rsidRDefault="00F030DA" w:rsidP="003C63F2">
            <w:pPr>
              <w:spacing w:after="240"/>
              <w:rPr>
                <w:b/>
              </w:rPr>
            </w:pPr>
            <w:r w:rsidRPr="003C63F2">
              <w:rPr>
                <w:b/>
              </w:rPr>
              <w:t>Agency or authority designated to handle comments: [ ]</w:t>
            </w:r>
            <w:bookmarkStart w:id="12" w:name="spsCommentNNA"/>
            <w:bookmarkEnd w:id="12"/>
            <w:r w:rsidRPr="003C63F2">
              <w:rPr>
                <w:b/>
              </w:rPr>
              <w:t> National Notification Authority, [</w:t>
            </w:r>
            <w:bookmarkStart w:id="13" w:name="spsCommentNEP"/>
            <w:r w:rsidRPr="003C63F2">
              <w:rPr>
                <w:b/>
              </w:rPr>
              <w:t>X</w:t>
            </w:r>
            <w:bookmarkEnd w:id="13"/>
            <w:r w:rsidRPr="003C63F2">
              <w:rPr>
                <w:b/>
              </w:rPr>
              <w:t>] National Enquiry Point. Address, fax number and e-mail address (if available) of other body:</w:t>
            </w:r>
          </w:p>
        </w:tc>
      </w:tr>
      <w:tr w:rsidR="004C7F5E" w:rsidRPr="0033199D" w:rsidTr="00C10B2E">
        <w:tc>
          <w:tcPr>
            <w:tcW w:w="9242" w:type="dxa"/>
            <w:shd w:val="clear" w:color="auto" w:fill="auto"/>
          </w:tcPr>
          <w:p w:rsidR="004A19AF" w:rsidRPr="003C63F2" w:rsidRDefault="00F030DA" w:rsidP="003C63F2">
            <w:r>
              <w:t>The Australian SPS Notification Authority</w:t>
            </w:r>
          </w:p>
          <w:p w:rsidR="004C7F5E" w:rsidRDefault="00F030DA">
            <w:r>
              <w:t>GPO Box 858</w:t>
            </w:r>
          </w:p>
          <w:p w:rsidR="004C7F5E" w:rsidRPr="003E35A2" w:rsidRDefault="00F030DA">
            <w:pPr>
              <w:rPr>
                <w:lang w:val="es-ES"/>
              </w:rPr>
            </w:pPr>
            <w:r w:rsidRPr="003E35A2">
              <w:rPr>
                <w:lang w:val="es-ES"/>
              </w:rPr>
              <w:t>Canberra ACT 2601</w:t>
            </w:r>
          </w:p>
          <w:p w:rsidR="004C7F5E" w:rsidRPr="003E35A2" w:rsidRDefault="00F030DA">
            <w:pPr>
              <w:rPr>
                <w:lang w:val="es-ES"/>
              </w:rPr>
            </w:pPr>
            <w:r w:rsidRPr="003E35A2">
              <w:rPr>
                <w:lang w:val="es-ES"/>
              </w:rPr>
              <w:t>Australia</w:t>
            </w:r>
          </w:p>
          <w:p w:rsidR="004C7F5E" w:rsidRPr="003E35A2" w:rsidRDefault="00F030DA">
            <w:pPr>
              <w:spacing w:after="240"/>
              <w:rPr>
                <w:lang w:val="es-ES"/>
              </w:rPr>
            </w:pPr>
            <w:r w:rsidRPr="003E35A2">
              <w:rPr>
                <w:lang w:val="es-ES"/>
              </w:rPr>
              <w:t>E-mail: sps.contact@agriculture.gov.au</w:t>
            </w:r>
            <w:bookmarkStart w:id="14" w:name="spsCommentAddress"/>
            <w:bookmarkEnd w:id="14"/>
            <w:r w:rsidRPr="003E35A2">
              <w:rPr>
                <w:lang w:val="es-ES"/>
              </w:rPr>
              <w:t xml:space="preserve"> </w:t>
            </w:r>
          </w:p>
        </w:tc>
      </w:tr>
      <w:tr w:rsidR="004C7F5E" w:rsidTr="00C10B2E">
        <w:tc>
          <w:tcPr>
            <w:tcW w:w="9242" w:type="dxa"/>
            <w:shd w:val="clear" w:color="auto" w:fill="auto"/>
          </w:tcPr>
          <w:p w:rsidR="004A19AF" w:rsidRPr="003C63F2" w:rsidRDefault="00F030DA" w:rsidP="003C63F2">
            <w:pPr>
              <w:spacing w:after="240"/>
              <w:rPr>
                <w:b/>
              </w:rPr>
            </w:pPr>
            <w:r w:rsidRPr="003C63F2">
              <w:rPr>
                <w:b/>
              </w:rPr>
              <w:t xml:space="preserve">Text(s) available from: </w:t>
            </w:r>
            <w:proofErr w:type="gramStart"/>
            <w:r w:rsidRPr="003C63F2">
              <w:rPr>
                <w:b/>
              </w:rPr>
              <w:t>[ ]</w:t>
            </w:r>
            <w:bookmarkStart w:id="15" w:name="spsTextAvailableNNA"/>
            <w:bookmarkEnd w:id="15"/>
            <w:proofErr w:type="gramEnd"/>
            <w:r w:rsidRPr="003C63F2">
              <w:rPr>
                <w:b/>
              </w:rPr>
              <w:t> National Notification Authority, [</w:t>
            </w:r>
            <w:bookmarkStart w:id="16" w:name="spsTextAvailableNEP"/>
            <w:r w:rsidRPr="003C63F2">
              <w:rPr>
                <w:b/>
              </w:rPr>
              <w:t>X</w:t>
            </w:r>
            <w:bookmarkEnd w:id="16"/>
            <w:r w:rsidRPr="003C63F2">
              <w:rPr>
                <w:b/>
              </w:rPr>
              <w:t>] National Enquiry Point. Address, fax number and e-mail address (if available) of other body:</w:t>
            </w:r>
          </w:p>
        </w:tc>
      </w:tr>
      <w:tr w:rsidR="004C7F5E" w:rsidRPr="0033199D" w:rsidTr="00C10B2E">
        <w:tc>
          <w:tcPr>
            <w:tcW w:w="9242" w:type="dxa"/>
            <w:shd w:val="clear" w:color="auto" w:fill="auto"/>
          </w:tcPr>
          <w:p w:rsidR="004A19AF" w:rsidRPr="003C63F2" w:rsidRDefault="00F030DA" w:rsidP="003C63F2">
            <w:r>
              <w:t>The Australian SPS Notification Authority</w:t>
            </w:r>
          </w:p>
          <w:p w:rsidR="004C7F5E" w:rsidRDefault="00F030DA">
            <w:r>
              <w:t>GPO Box 858</w:t>
            </w:r>
          </w:p>
          <w:p w:rsidR="004C7F5E" w:rsidRPr="003E35A2" w:rsidRDefault="00F030DA">
            <w:pPr>
              <w:rPr>
                <w:lang w:val="es-ES"/>
              </w:rPr>
            </w:pPr>
            <w:r w:rsidRPr="003E35A2">
              <w:rPr>
                <w:lang w:val="es-ES"/>
              </w:rPr>
              <w:t>Canberra ACT 2601</w:t>
            </w:r>
          </w:p>
          <w:p w:rsidR="004C7F5E" w:rsidRPr="003E35A2" w:rsidRDefault="00F030DA">
            <w:pPr>
              <w:rPr>
                <w:lang w:val="es-ES"/>
              </w:rPr>
            </w:pPr>
            <w:r w:rsidRPr="003E35A2">
              <w:rPr>
                <w:lang w:val="es-ES"/>
              </w:rPr>
              <w:t>Australia</w:t>
            </w:r>
          </w:p>
          <w:p w:rsidR="004C7F5E" w:rsidRPr="003E35A2" w:rsidRDefault="00F030DA">
            <w:pPr>
              <w:spacing w:after="240"/>
              <w:rPr>
                <w:lang w:val="es-ES"/>
              </w:rPr>
            </w:pPr>
            <w:r w:rsidRPr="003E35A2">
              <w:rPr>
                <w:lang w:val="es-ES"/>
              </w:rPr>
              <w:t>E-mail: sps.contact@agriculture.gov.au</w:t>
            </w:r>
            <w:bookmarkStart w:id="17" w:name="spsTextSupplierAddress"/>
            <w:bookmarkEnd w:id="17"/>
            <w:r w:rsidRPr="003E35A2">
              <w:rPr>
                <w:lang w:val="es-ES"/>
              </w:rPr>
              <w:t xml:space="preserve"> </w:t>
            </w:r>
          </w:p>
        </w:tc>
      </w:tr>
    </w:tbl>
    <w:p w:rsidR="004A19AF" w:rsidRPr="003E35A2" w:rsidRDefault="0033199D" w:rsidP="003C63F2">
      <w:pPr>
        <w:rPr>
          <w:lang w:val="es-ES"/>
        </w:rPr>
      </w:pPr>
    </w:p>
    <w:p w:rsidR="00CD1985" w:rsidRPr="003C63F2" w:rsidRDefault="00F030DA" w:rsidP="003C63F2">
      <w:pPr>
        <w:jc w:val="center"/>
        <w:rPr>
          <w:b/>
        </w:rPr>
      </w:pPr>
      <w:r w:rsidRPr="003C63F2">
        <w:rPr>
          <w:b/>
        </w:rPr>
        <w:t>__________</w:t>
      </w:r>
    </w:p>
    <w:sectPr w:rsidR="00CD1985" w:rsidRPr="003C63F2" w:rsidSect="003E35A2">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3DA" w:rsidRDefault="00F030DA">
      <w:r>
        <w:separator/>
      </w:r>
    </w:p>
  </w:endnote>
  <w:endnote w:type="continuationSeparator" w:id="0">
    <w:p w:rsidR="00EC43DA" w:rsidRDefault="00F0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3E35A2" w:rsidRDefault="003E35A2" w:rsidP="003E35A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3E35A2" w:rsidRDefault="003E35A2" w:rsidP="003E35A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DD8" w:rsidRPr="003C63F2" w:rsidRDefault="00F030DA">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3DA" w:rsidRDefault="00F030DA">
      <w:r>
        <w:separator/>
      </w:r>
    </w:p>
  </w:footnote>
  <w:footnote w:type="continuationSeparator" w:id="0">
    <w:p w:rsidR="00EC43DA" w:rsidRDefault="00F03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5A2" w:rsidRPr="003E35A2" w:rsidRDefault="003E35A2" w:rsidP="003E35A2">
    <w:pPr>
      <w:pStyle w:val="Header"/>
      <w:pBdr>
        <w:bottom w:val="single" w:sz="4" w:space="1" w:color="auto"/>
      </w:pBdr>
      <w:tabs>
        <w:tab w:val="clear" w:pos="4513"/>
        <w:tab w:val="clear" w:pos="9027"/>
      </w:tabs>
      <w:jc w:val="center"/>
    </w:pPr>
    <w:r w:rsidRPr="003E35A2">
      <w:t>G/SPS/N/AUS/432/Add.2</w:t>
    </w:r>
  </w:p>
  <w:p w:rsidR="003E35A2" w:rsidRPr="003E35A2" w:rsidRDefault="003E35A2" w:rsidP="003E35A2">
    <w:pPr>
      <w:pStyle w:val="Header"/>
      <w:pBdr>
        <w:bottom w:val="single" w:sz="4" w:space="1" w:color="auto"/>
      </w:pBdr>
      <w:tabs>
        <w:tab w:val="clear" w:pos="4513"/>
        <w:tab w:val="clear" w:pos="9027"/>
      </w:tabs>
      <w:jc w:val="center"/>
    </w:pPr>
  </w:p>
  <w:p w:rsidR="003E35A2" w:rsidRPr="003E35A2" w:rsidRDefault="003E35A2" w:rsidP="003E35A2">
    <w:pPr>
      <w:pStyle w:val="Header"/>
      <w:pBdr>
        <w:bottom w:val="single" w:sz="4" w:space="1" w:color="auto"/>
      </w:pBdr>
      <w:tabs>
        <w:tab w:val="clear" w:pos="4513"/>
        <w:tab w:val="clear" w:pos="9027"/>
      </w:tabs>
      <w:jc w:val="center"/>
    </w:pPr>
    <w:r w:rsidRPr="003E35A2">
      <w:t xml:space="preserve">- </w:t>
    </w:r>
    <w:r w:rsidRPr="003E35A2">
      <w:fldChar w:fldCharType="begin"/>
    </w:r>
    <w:r w:rsidRPr="003E35A2">
      <w:instrText xml:space="preserve"> PAGE </w:instrText>
    </w:r>
    <w:r w:rsidRPr="003E35A2">
      <w:fldChar w:fldCharType="separate"/>
    </w:r>
    <w:r w:rsidR="0033199D">
      <w:rPr>
        <w:noProof/>
      </w:rPr>
      <w:t>2</w:t>
    </w:r>
    <w:r w:rsidRPr="003E35A2">
      <w:fldChar w:fldCharType="end"/>
    </w:r>
    <w:r w:rsidRPr="003E35A2">
      <w:t xml:space="preserve"> -</w:t>
    </w:r>
  </w:p>
  <w:p w:rsidR="004A19AF" w:rsidRPr="003E35A2" w:rsidRDefault="0033199D" w:rsidP="003E35A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5A2" w:rsidRPr="003E35A2" w:rsidRDefault="003E35A2" w:rsidP="003E35A2">
    <w:pPr>
      <w:pStyle w:val="Header"/>
      <w:pBdr>
        <w:bottom w:val="single" w:sz="4" w:space="1" w:color="auto"/>
      </w:pBdr>
      <w:tabs>
        <w:tab w:val="clear" w:pos="4513"/>
        <w:tab w:val="clear" w:pos="9027"/>
      </w:tabs>
      <w:jc w:val="center"/>
    </w:pPr>
    <w:r w:rsidRPr="003E35A2">
      <w:t>G/SPS/N/AUS/432/Add.2</w:t>
    </w:r>
  </w:p>
  <w:p w:rsidR="003E35A2" w:rsidRPr="003E35A2" w:rsidRDefault="003E35A2" w:rsidP="003E35A2">
    <w:pPr>
      <w:pStyle w:val="Header"/>
      <w:pBdr>
        <w:bottom w:val="single" w:sz="4" w:space="1" w:color="auto"/>
      </w:pBdr>
      <w:tabs>
        <w:tab w:val="clear" w:pos="4513"/>
        <w:tab w:val="clear" w:pos="9027"/>
      </w:tabs>
      <w:jc w:val="center"/>
    </w:pPr>
  </w:p>
  <w:p w:rsidR="003E35A2" w:rsidRPr="003E35A2" w:rsidRDefault="003E35A2" w:rsidP="003E35A2">
    <w:pPr>
      <w:pStyle w:val="Header"/>
      <w:pBdr>
        <w:bottom w:val="single" w:sz="4" w:space="1" w:color="auto"/>
      </w:pBdr>
      <w:tabs>
        <w:tab w:val="clear" w:pos="4513"/>
        <w:tab w:val="clear" w:pos="9027"/>
      </w:tabs>
      <w:jc w:val="center"/>
    </w:pPr>
    <w:r w:rsidRPr="003E35A2">
      <w:t xml:space="preserve">- </w:t>
    </w:r>
    <w:r w:rsidRPr="003E35A2">
      <w:fldChar w:fldCharType="begin"/>
    </w:r>
    <w:r w:rsidRPr="003E35A2">
      <w:instrText xml:space="preserve"> PAGE </w:instrText>
    </w:r>
    <w:r w:rsidRPr="003E35A2">
      <w:fldChar w:fldCharType="separate"/>
    </w:r>
    <w:r w:rsidRPr="003E35A2">
      <w:rPr>
        <w:noProof/>
      </w:rPr>
      <w:t>2</w:t>
    </w:r>
    <w:r w:rsidRPr="003E35A2">
      <w:fldChar w:fldCharType="end"/>
    </w:r>
    <w:r w:rsidRPr="003E35A2">
      <w:t xml:space="preserve"> -</w:t>
    </w:r>
  </w:p>
  <w:p w:rsidR="004A19AF" w:rsidRPr="003E35A2" w:rsidRDefault="0033199D" w:rsidP="003E35A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C7F5E" w:rsidTr="00F94C86">
      <w:trPr>
        <w:trHeight w:val="240"/>
        <w:jc w:val="center"/>
      </w:trPr>
      <w:tc>
        <w:tcPr>
          <w:tcW w:w="3794" w:type="dxa"/>
          <w:shd w:val="clear" w:color="auto" w:fill="FFFFFF"/>
          <w:tcMar>
            <w:left w:w="108" w:type="dxa"/>
            <w:right w:w="108" w:type="dxa"/>
          </w:tcMar>
          <w:vAlign w:val="center"/>
        </w:tcPr>
        <w:p w:rsidR="00ED54E0" w:rsidRPr="004A19AF" w:rsidRDefault="0033199D"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4A19AF" w:rsidRDefault="003E35A2" w:rsidP="00C10B2E">
          <w:pPr>
            <w:jc w:val="right"/>
            <w:rPr>
              <w:b/>
              <w:color w:val="FF0000"/>
              <w:szCs w:val="16"/>
            </w:rPr>
          </w:pPr>
          <w:r>
            <w:rPr>
              <w:b/>
              <w:color w:val="FF0000"/>
              <w:szCs w:val="16"/>
            </w:rPr>
            <w:t xml:space="preserve"> </w:t>
          </w:r>
        </w:p>
      </w:tc>
    </w:tr>
    <w:bookmarkEnd w:id="18"/>
    <w:tr w:rsidR="004C7F5E" w:rsidTr="00F94C86">
      <w:trPr>
        <w:trHeight w:val="213"/>
        <w:jc w:val="center"/>
      </w:trPr>
      <w:tc>
        <w:tcPr>
          <w:tcW w:w="3794" w:type="dxa"/>
          <w:vMerge w:val="restart"/>
          <w:shd w:val="clear" w:color="auto" w:fill="FFFFFF"/>
          <w:tcMar>
            <w:left w:w="0" w:type="dxa"/>
            <w:right w:w="0" w:type="dxa"/>
          </w:tcMar>
        </w:tcPr>
        <w:p w:rsidR="00ED54E0" w:rsidRPr="004A19AF" w:rsidRDefault="003E35A2" w:rsidP="00C10B2E">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4A19AF" w:rsidRDefault="0033199D" w:rsidP="00C10B2E">
          <w:pPr>
            <w:jc w:val="right"/>
            <w:rPr>
              <w:b/>
              <w:szCs w:val="16"/>
            </w:rPr>
          </w:pPr>
        </w:p>
      </w:tc>
    </w:tr>
    <w:tr w:rsidR="004C7F5E" w:rsidTr="00F94C86">
      <w:trPr>
        <w:trHeight w:val="868"/>
        <w:jc w:val="center"/>
      </w:trPr>
      <w:tc>
        <w:tcPr>
          <w:tcW w:w="3794" w:type="dxa"/>
          <w:vMerge/>
          <w:shd w:val="clear" w:color="auto" w:fill="FFFFFF"/>
          <w:tcMar>
            <w:left w:w="108" w:type="dxa"/>
            <w:right w:w="108" w:type="dxa"/>
          </w:tcMar>
        </w:tcPr>
        <w:p w:rsidR="00ED54E0" w:rsidRPr="004A19AF" w:rsidRDefault="0033199D" w:rsidP="00C10B2E">
          <w:pPr>
            <w:jc w:val="left"/>
            <w:rPr>
              <w:noProof/>
              <w:lang w:eastAsia="en-GB"/>
            </w:rPr>
          </w:pPr>
        </w:p>
      </w:tc>
      <w:tc>
        <w:tcPr>
          <w:tcW w:w="5448" w:type="dxa"/>
          <w:gridSpan w:val="2"/>
          <w:shd w:val="clear" w:color="auto" w:fill="FFFFFF"/>
          <w:tcMar>
            <w:left w:w="108" w:type="dxa"/>
            <w:right w:w="108" w:type="dxa"/>
          </w:tcMar>
        </w:tcPr>
        <w:p w:rsidR="003E35A2" w:rsidRDefault="003E35A2" w:rsidP="009042DF">
          <w:pPr>
            <w:jc w:val="right"/>
            <w:rPr>
              <w:b/>
              <w:szCs w:val="16"/>
            </w:rPr>
          </w:pPr>
          <w:bookmarkStart w:id="19" w:name="bmkSymbols"/>
          <w:r>
            <w:rPr>
              <w:b/>
              <w:szCs w:val="16"/>
            </w:rPr>
            <w:t>G/SPS/N/AUS/432/Add.2</w:t>
          </w:r>
        </w:p>
        <w:bookmarkEnd w:id="19"/>
        <w:p w:rsidR="00ED54E0" w:rsidRPr="003C63F2" w:rsidRDefault="0033199D" w:rsidP="009042DF">
          <w:pPr>
            <w:jc w:val="right"/>
            <w:rPr>
              <w:b/>
              <w:szCs w:val="16"/>
            </w:rPr>
          </w:pPr>
        </w:p>
      </w:tc>
    </w:tr>
    <w:tr w:rsidR="004C7F5E" w:rsidTr="00F94C86">
      <w:trPr>
        <w:trHeight w:val="240"/>
        <w:jc w:val="center"/>
      </w:trPr>
      <w:tc>
        <w:tcPr>
          <w:tcW w:w="3794" w:type="dxa"/>
          <w:vMerge/>
          <w:shd w:val="clear" w:color="auto" w:fill="FFFFFF"/>
          <w:tcMar>
            <w:left w:w="108" w:type="dxa"/>
            <w:right w:w="108" w:type="dxa"/>
          </w:tcMar>
          <w:vAlign w:val="center"/>
        </w:tcPr>
        <w:p w:rsidR="00ED54E0" w:rsidRPr="004A19AF" w:rsidRDefault="0033199D" w:rsidP="00C10B2E"/>
      </w:tc>
      <w:tc>
        <w:tcPr>
          <w:tcW w:w="5448" w:type="dxa"/>
          <w:gridSpan w:val="2"/>
          <w:shd w:val="clear" w:color="auto" w:fill="FFFFFF"/>
          <w:tcMar>
            <w:left w:w="108" w:type="dxa"/>
            <w:right w:w="108" w:type="dxa"/>
          </w:tcMar>
          <w:vAlign w:val="center"/>
        </w:tcPr>
        <w:p w:rsidR="00ED54E0" w:rsidRPr="004A19AF" w:rsidRDefault="008F72D7" w:rsidP="00C10B2E">
          <w:pPr>
            <w:jc w:val="right"/>
            <w:rPr>
              <w:szCs w:val="16"/>
            </w:rPr>
          </w:pPr>
          <w:bookmarkStart w:id="20" w:name="bmkDate"/>
          <w:bookmarkStart w:id="21" w:name="spsDateDistribution"/>
          <w:bookmarkEnd w:id="20"/>
          <w:bookmarkEnd w:id="21"/>
          <w:r>
            <w:rPr>
              <w:szCs w:val="16"/>
            </w:rPr>
            <w:t>4 September 2018</w:t>
          </w:r>
        </w:p>
      </w:tc>
    </w:tr>
    <w:tr w:rsidR="004C7F5E"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4A19AF" w:rsidRDefault="00F030DA" w:rsidP="00C10B2E">
          <w:pPr>
            <w:jc w:val="left"/>
            <w:rPr>
              <w:b/>
            </w:rPr>
          </w:pPr>
          <w:bookmarkStart w:id="22" w:name="bmkSerial"/>
          <w:r w:rsidRPr="003C63F2">
            <w:rPr>
              <w:color w:val="FF0000"/>
              <w:szCs w:val="16"/>
            </w:rPr>
            <w:t>(</w:t>
          </w:r>
          <w:bookmarkStart w:id="23" w:name="spsSerialNumber"/>
          <w:bookmarkEnd w:id="23"/>
          <w:r w:rsidR="008F72D7">
            <w:rPr>
              <w:color w:val="FF0000"/>
              <w:szCs w:val="16"/>
            </w:rPr>
            <w:t>18-</w:t>
          </w:r>
          <w:r w:rsidR="0033199D">
            <w:rPr>
              <w:color w:val="FF0000"/>
              <w:szCs w:val="16"/>
            </w:rPr>
            <w:t>5515</w:t>
          </w:r>
          <w:r w:rsidRPr="003C63F2">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4A19AF" w:rsidRDefault="00F030DA" w:rsidP="00C10B2E">
          <w:pPr>
            <w:jc w:val="right"/>
            <w:rPr>
              <w:szCs w:val="16"/>
            </w:rPr>
          </w:pPr>
          <w:bookmarkStart w:id="24"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33199D">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33199D">
            <w:rPr>
              <w:bCs/>
              <w:noProof/>
              <w:szCs w:val="16"/>
            </w:rPr>
            <w:t>2</w:t>
          </w:r>
          <w:r w:rsidRPr="003C63F2">
            <w:rPr>
              <w:bCs/>
              <w:szCs w:val="16"/>
            </w:rPr>
            <w:fldChar w:fldCharType="end"/>
          </w:r>
          <w:bookmarkEnd w:id="24"/>
        </w:p>
      </w:tc>
    </w:tr>
    <w:tr w:rsidR="004C7F5E"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4A19AF" w:rsidRDefault="003E35A2" w:rsidP="00C10B2E">
          <w:pPr>
            <w:jc w:val="left"/>
            <w:rPr>
              <w:sz w:val="14"/>
              <w:szCs w:val="16"/>
            </w:rPr>
          </w:pPr>
          <w:bookmarkStart w:id="25" w:name="bmkCommittee"/>
          <w:r>
            <w:rPr>
              <w:b/>
            </w:rPr>
            <w:t>Committee on Sanitary and Phytosanitary Measures</w:t>
          </w:r>
          <w:bookmarkEnd w:id="25"/>
        </w:p>
      </w:tc>
      <w:tc>
        <w:tcPr>
          <w:tcW w:w="3325" w:type="dxa"/>
          <w:tcBorders>
            <w:top w:val="single" w:sz="4" w:space="0" w:color="auto"/>
          </w:tcBorders>
          <w:tcMar>
            <w:top w:w="113" w:type="dxa"/>
            <w:left w:w="108" w:type="dxa"/>
            <w:bottom w:w="57" w:type="dxa"/>
            <w:right w:w="108" w:type="dxa"/>
          </w:tcMar>
          <w:vAlign w:val="center"/>
        </w:tcPr>
        <w:p w:rsidR="00ED54E0" w:rsidRPr="003C63F2" w:rsidRDefault="003E35A2" w:rsidP="00B728D5">
          <w:pPr>
            <w:jc w:val="right"/>
            <w:rPr>
              <w:bCs/>
              <w:szCs w:val="18"/>
            </w:rPr>
          </w:pPr>
          <w:bookmarkStart w:id="26" w:name="bmkLanguage"/>
          <w:r>
            <w:rPr>
              <w:bCs/>
              <w:szCs w:val="18"/>
            </w:rPr>
            <w:t>Original: English</w:t>
          </w:r>
          <w:bookmarkEnd w:id="26"/>
        </w:p>
      </w:tc>
    </w:tr>
  </w:tbl>
  <w:p w:rsidR="00ED54E0" w:rsidRPr="003C63F2" w:rsidRDefault="00331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5D5E72"/>
    <w:multiLevelType w:val="hybridMultilevel"/>
    <w:tmpl w:val="136A34E6"/>
    <w:lvl w:ilvl="0" w:tplc="9D6E1A20">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95045E3"/>
    <w:multiLevelType w:val="hybridMultilevel"/>
    <w:tmpl w:val="D0E8FA4A"/>
    <w:lvl w:ilvl="0" w:tplc="04090001">
      <w:start w:val="1"/>
      <w:numFmt w:val="bullet"/>
      <w:lvlText w:val=""/>
      <w:lvlJc w:val="left"/>
      <w:pPr>
        <w:ind w:left="780" w:hanging="360"/>
      </w:pPr>
      <w:rPr>
        <w:rFonts w:ascii="Symbol" w:hAnsi="Symbol" w:hint="default"/>
      </w:rPr>
    </w:lvl>
    <w:lvl w:ilvl="1" w:tplc="17FA5986">
      <w:numFmt w:val="bullet"/>
      <w:lvlText w:val="-"/>
      <w:lvlJc w:val="left"/>
      <w:pPr>
        <w:ind w:left="1500" w:hanging="360"/>
      </w:pPr>
      <w:rPr>
        <w:rFonts w:ascii="Verdana" w:eastAsia="Calibri" w:hAnsi="Verdana"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E170E24"/>
    <w:multiLevelType w:val="hybridMultilevel"/>
    <w:tmpl w:val="349CBD64"/>
    <w:lvl w:ilvl="0" w:tplc="9D6E1A20">
      <w:start w:val="1"/>
      <w:numFmt w:val="bullet"/>
      <w:lvlText w:val=""/>
      <w:lvlJc w:val="left"/>
      <w:pPr>
        <w:ind w:left="780" w:hanging="360"/>
      </w:pPr>
      <w:rPr>
        <w:rFonts w:ascii="Symbol" w:hAnsi="Symbol" w:hint="default"/>
      </w:rPr>
    </w:lvl>
    <w:lvl w:ilvl="1" w:tplc="17FA5986">
      <w:numFmt w:val="bullet"/>
      <w:lvlText w:val="-"/>
      <w:lvlJc w:val="left"/>
      <w:pPr>
        <w:ind w:left="1500" w:hanging="360"/>
      </w:pPr>
      <w:rPr>
        <w:rFonts w:ascii="Verdana" w:eastAsia="Calibri" w:hAnsi="Verdana"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7454AB1"/>
    <w:multiLevelType w:val="multilevel"/>
    <w:tmpl w:val="A6EE6510"/>
    <w:numStyleLink w:val="LegalHeadings"/>
  </w:abstractNum>
  <w:abstractNum w:abstractNumId="15"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15:restartNumberingAfterBreak="0">
    <w:nsid w:val="63D526BA"/>
    <w:multiLevelType w:val="hybridMultilevel"/>
    <w:tmpl w:val="5CB60482"/>
    <w:lvl w:ilvl="0" w:tplc="75641E52">
      <w:start w:val="1"/>
      <w:numFmt w:val="decimal"/>
      <w:pStyle w:val="SummaryText"/>
      <w:lvlText w:val="%1."/>
      <w:lvlJc w:val="left"/>
      <w:pPr>
        <w:ind w:left="360" w:hanging="360"/>
      </w:pPr>
    </w:lvl>
    <w:lvl w:ilvl="1" w:tplc="8E862DF2" w:tentative="1">
      <w:start w:val="1"/>
      <w:numFmt w:val="lowerLetter"/>
      <w:lvlText w:val="%2."/>
      <w:lvlJc w:val="left"/>
      <w:pPr>
        <w:ind w:left="1080" w:hanging="360"/>
      </w:pPr>
    </w:lvl>
    <w:lvl w:ilvl="2" w:tplc="F77A9A38" w:tentative="1">
      <w:start w:val="1"/>
      <w:numFmt w:val="lowerRoman"/>
      <w:lvlText w:val="%3."/>
      <w:lvlJc w:val="right"/>
      <w:pPr>
        <w:ind w:left="1800" w:hanging="180"/>
      </w:pPr>
    </w:lvl>
    <w:lvl w:ilvl="3" w:tplc="FCD663E0" w:tentative="1">
      <w:start w:val="1"/>
      <w:numFmt w:val="decimal"/>
      <w:lvlText w:val="%4."/>
      <w:lvlJc w:val="left"/>
      <w:pPr>
        <w:ind w:left="2520" w:hanging="360"/>
      </w:pPr>
    </w:lvl>
    <w:lvl w:ilvl="4" w:tplc="1ADA89D2" w:tentative="1">
      <w:start w:val="1"/>
      <w:numFmt w:val="lowerLetter"/>
      <w:lvlText w:val="%5."/>
      <w:lvlJc w:val="left"/>
      <w:pPr>
        <w:ind w:left="3240" w:hanging="360"/>
      </w:pPr>
    </w:lvl>
    <w:lvl w:ilvl="5" w:tplc="AA724934" w:tentative="1">
      <w:start w:val="1"/>
      <w:numFmt w:val="lowerRoman"/>
      <w:lvlText w:val="%6."/>
      <w:lvlJc w:val="right"/>
      <w:pPr>
        <w:ind w:left="3960" w:hanging="180"/>
      </w:pPr>
    </w:lvl>
    <w:lvl w:ilvl="6" w:tplc="A7109E56" w:tentative="1">
      <w:start w:val="1"/>
      <w:numFmt w:val="decimal"/>
      <w:lvlText w:val="%7."/>
      <w:lvlJc w:val="left"/>
      <w:pPr>
        <w:ind w:left="4680" w:hanging="360"/>
      </w:pPr>
    </w:lvl>
    <w:lvl w:ilvl="7" w:tplc="F306E95E" w:tentative="1">
      <w:start w:val="1"/>
      <w:numFmt w:val="lowerLetter"/>
      <w:lvlText w:val="%8."/>
      <w:lvlJc w:val="left"/>
      <w:pPr>
        <w:ind w:left="5400" w:hanging="360"/>
      </w:pPr>
    </w:lvl>
    <w:lvl w:ilvl="8" w:tplc="66EAA83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4"/>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F5E"/>
    <w:rsid w:val="0033199D"/>
    <w:rsid w:val="003E35A2"/>
    <w:rsid w:val="004C7F5E"/>
    <w:rsid w:val="007E3434"/>
    <w:rsid w:val="008C418D"/>
    <w:rsid w:val="008F72D7"/>
    <w:rsid w:val="00D35F95"/>
    <w:rsid w:val="00EC43DA"/>
    <w:rsid w:val="00F03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3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3F2"/>
    <w:pPr>
      <w:jc w:val="both"/>
    </w:pPr>
    <w:rPr>
      <w:rFonts w:ascii="Verdana" w:hAnsi="Verdana"/>
      <w:sz w:val="18"/>
      <w:szCs w:val="22"/>
      <w:lang w:val="en-GB"/>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val="en-GB"/>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customStyle="1" w:styleId="NoteHeading1">
    <w:name w:val="Note Heading1"/>
    <w:basedOn w:val="Normal"/>
    <w:next w:val="Normal"/>
    <w:link w:val="NoteHeadingChar"/>
    <w:uiPriority w:val="99"/>
    <w:semiHidden/>
    <w:unhideWhenUsed/>
    <w:rsid w:val="003C63F2"/>
  </w:style>
  <w:style w:type="character" w:customStyle="1" w:styleId="NoteHeadingChar">
    <w:name w:val="Note Heading Char"/>
    <w:link w:val="NoteHeading1"/>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griculture.gov.au/biosecurity/risk-analysis/memos/ba2017-1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griculture.gov.au/bmsb"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551</Words>
  <Characters>3037</Characters>
  <Application>Microsoft Office Word</Application>
  <DocSecurity>0</DocSecurity>
  <Lines>72</Lines>
  <Paragraphs>54</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5</cp:revision>
  <dcterms:created xsi:type="dcterms:W3CDTF">2018-09-03T08:15:00Z</dcterms:created>
  <dcterms:modified xsi:type="dcterms:W3CDTF">2018-09-04T08:49:00Z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G/SPS/N/AUS/432/Add.2</vt:lpwstr>
  </property>
</Properties>
</file>