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A70A3" w:rsidP="00F04CD2">
      <w:pPr>
        <w:pStyle w:val="Title"/>
        <w:spacing w:before="240"/>
        <w:rPr>
          <w:caps w:val="0"/>
          <w:kern w:val="0"/>
        </w:rPr>
      </w:pPr>
      <w:bookmarkStart w:id="0" w:name="_GoBack"/>
      <w:bookmarkEnd w:id="0"/>
      <w:r w:rsidRPr="002F6A28">
        <w:rPr>
          <w:caps w:val="0"/>
          <w:kern w:val="0"/>
        </w:rPr>
        <w:t>NOTIFICATION</w:t>
      </w:r>
    </w:p>
    <w:p w:rsidR="009239F7" w:rsidRPr="002F6A28" w:rsidRDefault="007A70A3" w:rsidP="002F6A28">
      <w:pPr>
        <w:jc w:val="center"/>
      </w:pPr>
      <w:r w:rsidRPr="002F6A28">
        <w:t>The following notification is being circulated in accordance with Article 10.6</w:t>
      </w:r>
    </w:p>
    <w:p w:rsidR="009239F7" w:rsidRPr="002F6A28" w:rsidRDefault="0068436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A407D" w:rsidTr="0069259F">
        <w:tc>
          <w:tcPr>
            <w:tcW w:w="713" w:type="dxa"/>
            <w:tcBorders>
              <w:bottom w:val="single" w:sz="6" w:space="0" w:color="auto"/>
            </w:tcBorders>
            <w:shd w:val="clear" w:color="auto" w:fill="auto"/>
          </w:tcPr>
          <w:p w:rsidR="00F85C99" w:rsidRPr="002F6A28" w:rsidRDefault="007A70A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A70A3" w:rsidP="002F6A28">
            <w:pPr>
              <w:spacing w:before="120" w:after="120"/>
            </w:pPr>
            <w:r w:rsidRPr="002F6A28">
              <w:rPr>
                <w:b/>
              </w:rPr>
              <w:t xml:space="preserve">Notifying Member: </w:t>
            </w:r>
            <w:bookmarkStart w:id="1" w:name="sps1a"/>
            <w:r w:rsidRPr="00812D1D">
              <w:rPr>
                <w:caps/>
                <w:u w:val="single"/>
              </w:rPr>
              <w:t>Botswana</w:t>
            </w:r>
            <w:bookmarkEnd w:id="1"/>
            <w:r w:rsidRPr="002F6A28">
              <w:t xml:space="preserve"> </w:t>
            </w:r>
          </w:p>
          <w:p w:rsidR="00F85C99" w:rsidRPr="002F6A28" w:rsidRDefault="007A70A3" w:rsidP="002F6A28">
            <w:pPr>
              <w:spacing w:after="120"/>
            </w:pPr>
            <w:r w:rsidRPr="002F6A28">
              <w:rPr>
                <w:b/>
              </w:rPr>
              <w:t>If applicable, name of local government involved (Article 3.2 and 7.2):</w:t>
            </w:r>
            <w:r w:rsidRPr="002F6A28">
              <w:t xml:space="preserve"> </w:t>
            </w:r>
            <w:bookmarkStart w:id="2" w:name="sps1b"/>
            <w:bookmarkEnd w:id="2"/>
          </w:p>
        </w:tc>
      </w:tr>
      <w:tr w:rsidR="00EA407D" w:rsidTr="0069259F">
        <w:tc>
          <w:tcPr>
            <w:tcW w:w="713" w:type="dxa"/>
            <w:tcBorders>
              <w:top w:val="single" w:sz="6" w:space="0" w:color="auto"/>
              <w:bottom w:val="single" w:sz="6" w:space="0" w:color="auto"/>
            </w:tcBorders>
            <w:shd w:val="clear" w:color="auto" w:fill="auto"/>
          </w:tcPr>
          <w:p w:rsidR="00F85C99" w:rsidRPr="002F6A28" w:rsidRDefault="007A70A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6B2769" w:rsidRDefault="007A70A3" w:rsidP="003A7DC9">
            <w:pPr>
              <w:spacing w:before="120" w:after="120"/>
              <w:jc w:val="left"/>
              <w:rPr>
                <w:b/>
              </w:rPr>
            </w:pPr>
            <w:r w:rsidRPr="002F6A28">
              <w:rPr>
                <w:b/>
              </w:rPr>
              <w:t xml:space="preserve">Agency responsible: </w:t>
            </w:r>
          </w:p>
          <w:p w:rsidR="006B2769" w:rsidRDefault="00494D63" w:rsidP="006B2769">
            <w:pPr>
              <w:jc w:val="left"/>
            </w:pPr>
            <w:r>
              <w:t xml:space="preserve">Ministry of Investment Trade and Industry </w:t>
            </w:r>
          </w:p>
          <w:p w:rsidR="006B2769" w:rsidRDefault="00494D63" w:rsidP="006B2769">
            <w:pPr>
              <w:jc w:val="left"/>
            </w:pPr>
            <w:r>
              <w:t xml:space="preserve">Private Bag 004 </w:t>
            </w:r>
          </w:p>
          <w:p w:rsidR="006B2769" w:rsidRDefault="00494D63" w:rsidP="006B2769">
            <w:pPr>
              <w:jc w:val="left"/>
            </w:pPr>
            <w:r>
              <w:t xml:space="preserve">Gaborone </w:t>
            </w:r>
          </w:p>
          <w:p w:rsidR="00F85C99" w:rsidRPr="002F6A28" w:rsidRDefault="00494D63" w:rsidP="003A7DC9">
            <w:pPr>
              <w:spacing w:after="120"/>
              <w:jc w:val="left"/>
            </w:pPr>
            <w:r>
              <w:t>Tel: (+267) 3601200</w:t>
            </w:r>
            <w:bookmarkStart w:id="3" w:name="sps2a"/>
            <w:bookmarkEnd w:id="3"/>
          </w:p>
          <w:p w:rsidR="003A7DC9" w:rsidRDefault="007A70A3" w:rsidP="003A7DC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A70A3" w:rsidP="002F6A28">
            <w:r>
              <w:t>Botswana Bureau of Standards</w:t>
            </w:r>
          </w:p>
          <w:p w:rsidR="00EA407D" w:rsidRDefault="007A70A3">
            <w:r>
              <w:t>Private Bag BO 48</w:t>
            </w:r>
          </w:p>
          <w:p w:rsidR="00EA407D" w:rsidRDefault="007A70A3">
            <w:r>
              <w:t>Gaborone</w:t>
            </w:r>
          </w:p>
          <w:p w:rsidR="00EA407D" w:rsidRDefault="007A70A3">
            <w:r>
              <w:t>Botswana</w:t>
            </w:r>
          </w:p>
          <w:p w:rsidR="00EA407D" w:rsidRDefault="007A70A3">
            <w:r>
              <w:t>Tel: (+267) 3903200</w:t>
            </w:r>
          </w:p>
          <w:p w:rsidR="00EA407D" w:rsidRDefault="007A70A3">
            <w:r>
              <w:t>Fax: (+267) 3903120</w:t>
            </w:r>
          </w:p>
          <w:p w:rsidR="00EA407D" w:rsidRDefault="007A70A3">
            <w:r>
              <w:t>Toll Free Number: (0800 600 900)</w:t>
            </w:r>
          </w:p>
          <w:p w:rsidR="00EA407D" w:rsidRDefault="007A70A3">
            <w:pPr>
              <w:spacing w:after="120"/>
            </w:pPr>
            <w:r>
              <w:t xml:space="preserve">Email: </w:t>
            </w:r>
            <w:hyperlink r:id="rId8" w:history="1">
              <w:r>
                <w:rPr>
                  <w:color w:val="0000FF"/>
                  <w:u w:val="single"/>
                </w:rPr>
                <w:t>infoc@hq.bobstandards.bw</w:t>
              </w:r>
            </w:hyperlink>
            <w:bookmarkStart w:id="4" w:name="sps4a"/>
            <w:bookmarkEnd w:id="4"/>
          </w:p>
        </w:tc>
      </w:tr>
      <w:tr w:rsidR="00EA407D" w:rsidTr="0069259F">
        <w:tc>
          <w:tcPr>
            <w:tcW w:w="713" w:type="dxa"/>
            <w:tcBorders>
              <w:top w:val="single" w:sz="6" w:space="0" w:color="auto"/>
              <w:bottom w:val="single" w:sz="6" w:space="0" w:color="auto"/>
            </w:tcBorders>
            <w:shd w:val="clear" w:color="auto" w:fill="auto"/>
          </w:tcPr>
          <w:p w:rsidR="00F85C99" w:rsidRPr="002F6A28" w:rsidRDefault="007A70A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A7DC9" w:rsidP="002F6A28">
            <w:pPr>
              <w:spacing w:before="120" w:after="120"/>
              <w:rPr>
                <w:b/>
              </w:rPr>
            </w:pPr>
            <w:bookmarkStart w:id="5" w:name="tbt3a"/>
            <w:r>
              <w:rPr>
                <w:b/>
              </w:rPr>
              <w:t>Notified under Article 2.9.2 [</w:t>
            </w:r>
            <w:r w:rsidR="007A70A3" w:rsidRPr="002F6A28">
              <w:rPr>
                <w:b/>
              </w:rPr>
              <w:t>X</w:t>
            </w:r>
            <w:bookmarkEnd w:id="5"/>
            <w:r w:rsidR="007A70A3" w:rsidRPr="002F6A28">
              <w:rPr>
                <w:b/>
              </w:rPr>
              <w:t>], 2.10.1 [ </w:t>
            </w:r>
            <w:bookmarkStart w:id="6" w:name="tbt3b"/>
            <w:bookmarkEnd w:id="6"/>
            <w:r w:rsidR="007A70A3" w:rsidRPr="002F6A28">
              <w:rPr>
                <w:b/>
              </w:rPr>
              <w:t> ], 5.6.2 [ </w:t>
            </w:r>
            <w:bookmarkStart w:id="7" w:name="tbt3c"/>
            <w:bookmarkEnd w:id="7"/>
            <w:r w:rsidR="007A70A3" w:rsidRPr="002F6A28">
              <w:rPr>
                <w:b/>
              </w:rPr>
              <w:t> ], 5.7.1 [ </w:t>
            </w:r>
            <w:bookmarkStart w:id="8" w:name="tbt3d"/>
            <w:bookmarkEnd w:id="8"/>
            <w:r w:rsidR="007A70A3" w:rsidRPr="002F6A28">
              <w:rPr>
                <w:b/>
              </w:rPr>
              <w:t> ], other:</w:t>
            </w:r>
            <w:bookmarkStart w:id="9" w:name="tbt3e"/>
            <w:bookmarkEnd w:id="9"/>
          </w:p>
        </w:tc>
      </w:tr>
      <w:tr w:rsidR="00EA407D" w:rsidTr="0069259F">
        <w:tc>
          <w:tcPr>
            <w:tcW w:w="713" w:type="dxa"/>
            <w:tcBorders>
              <w:top w:val="single" w:sz="6" w:space="0" w:color="auto"/>
              <w:bottom w:val="single" w:sz="6" w:space="0" w:color="auto"/>
            </w:tcBorders>
            <w:shd w:val="clear" w:color="auto" w:fill="auto"/>
          </w:tcPr>
          <w:p w:rsidR="00F85C99" w:rsidRPr="002F6A28" w:rsidRDefault="007A70A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A70A3" w:rsidP="00494D63">
            <w:pPr>
              <w:spacing w:before="120" w:after="120"/>
            </w:pPr>
            <w:r w:rsidRPr="002F6A28">
              <w:rPr>
                <w:b/>
              </w:rPr>
              <w:t xml:space="preserve">Products covered (HS or CCCN where applicable, otherwise national tariff heading. ICS numbers may be provided in addition, where applicable): </w:t>
            </w:r>
            <w:r>
              <w:t>Toys (ICS</w:t>
            </w:r>
            <w:r w:rsidR="00494D63">
              <w:t> </w:t>
            </w:r>
            <w:r>
              <w:t>97.200.50).</w:t>
            </w:r>
            <w:bookmarkStart w:id="10" w:name="sps3a"/>
            <w:bookmarkEnd w:id="10"/>
          </w:p>
        </w:tc>
      </w:tr>
      <w:tr w:rsidR="00EA407D" w:rsidTr="0069259F">
        <w:tc>
          <w:tcPr>
            <w:tcW w:w="713" w:type="dxa"/>
            <w:tcBorders>
              <w:top w:val="single" w:sz="6" w:space="0" w:color="auto"/>
              <w:bottom w:val="single" w:sz="6" w:space="0" w:color="auto"/>
            </w:tcBorders>
            <w:shd w:val="clear" w:color="auto" w:fill="auto"/>
          </w:tcPr>
          <w:p w:rsidR="00F85C99" w:rsidRPr="002F6A28" w:rsidRDefault="007A70A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A70A3" w:rsidP="00494D63">
            <w:pPr>
              <w:spacing w:before="120" w:after="120"/>
            </w:pPr>
            <w:r w:rsidRPr="002F6A28">
              <w:rPr>
                <w:b/>
              </w:rPr>
              <w:t xml:space="preserve">Title, number of pages and language(s) of the notified document: </w:t>
            </w:r>
            <w:r>
              <w:t xml:space="preserve">BOS ISO 8124-3:2010 Safety of toys </w:t>
            </w:r>
            <w:r w:rsidR="00494D63">
              <w:t xml:space="preserve">– </w:t>
            </w:r>
            <w:r>
              <w:t>Part 3: Migration of certain elements (52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EA407D" w:rsidTr="0069259F">
        <w:tc>
          <w:tcPr>
            <w:tcW w:w="713" w:type="dxa"/>
            <w:tcBorders>
              <w:top w:val="single" w:sz="6" w:space="0" w:color="auto"/>
              <w:bottom w:val="single" w:sz="6" w:space="0" w:color="auto"/>
            </w:tcBorders>
            <w:shd w:val="clear" w:color="auto" w:fill="auto"/>
          </w:tcPr>
          <w:p w:rsidR="00F85C99" w:rsidRPr="002F6A28" w:rsidRDefault="007A70A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A70A3" w:rsidP="002F6A28">
            <w:pPr>
              <w:spacing w:before="120" w:after="120"/>
              <w:rPr>
                <w:b/>
              </w:rPr>
            </w:pPr>
            <w:r w:rsidRPr="002F6A28">
              <w:rPr>
                <w:b/>
              </w:rPr>
              <w:t xml:space="preserve">Description of content: </w:t>
            </w:r>
            <w:r>
              <w:rPr>
                <w:lang w:eastAsia="en-GB"/>
              </w:rPr>
              <w:t>This part of ISO 8124 specifies maximum acceptable levels and methods of sampling and extraction prior to analysis for the migration of the elements antimony, arsenic, barium, cadmium, chromium, lead, mercury and selenium from toy materials and from parts of toys.</w:t>
            </w:r>
          </w:p>
          <w:p w:rsidR="00EA407D" w:rsidRDefault="007A70A3" w:rsidP="00494D63">
            <w:pPr>
              <w:spacing w:after="120"/>
              <w:ind w:left="-4" w:firstLine="4"/>
            </w:pPr>
            <w:r w:rsidRPr="003A7DC9">
              <w:rPr>
                <w:bCs/>
                <w:lang w:eastAsia="en-GB"/>
              </w:rPr>
              <w:t>1.2</w:t>
            </w:r>
            <w:r w:rsidR="00494D63">
              <w:rPr>
                <w:bCs/>
                <w:lang w:eastAsia="en-GB"/>
              </w:rPr>
              <w:t xml:space="preserve"> </w:t>
            </w:r>
            <w:r>
              <w:rPr>
                <w:lang w:eastAsia="en-GB"/>
              </w:rPr>
              <w:t>Maximum acceptable levels are specified for the migration of the elements listed in 1.1 from the following toy materials:</w:t>
            </w:r>
          </w:p>
          <w:p w:rsidR="00EA407D" w:rsidRDefault="007A70A3" w:rsidP="00494D63">
            <w:pPr>
              <w:numPr>
                <w:ilvl w:val="0"/>
                <w:numId w:val="16"/>
              </w:numPr>
              <w:tabs>
                <w:tab w:val="clear" w:pos="720"/>
              </w:tabs>
              <w:spacing w:after="120"/>
              <w:ind w:left="988"/>
            </w:pPr>
            <w:r>
              <w:rPr>
                <w:lang w:eastAsia="en-GB"/>
              </w:rPr>
              <w:t>coatings of paints, varnishes, lacquers, printing inks, polymers and similar coatings (see 8.1);</w:t>
            </w:r>
          </w:p>
          <w:p w:rsidR="00EA407D" w:rsidRDefault="007A70A3" w:rsidP="00494D63">
            <w:pPr>
              <w:numPr>
                <w:ilvl w:val="0"/>
                <w:numId w:val="16"/>
              </w:numPr>
              <w:tabs>
                <w:tab w:val="clear" w:pos="720"/>
              </w:tabs>
              <w:spacing w:after="120"/>
              <w:ind w:left="988"/>
            </w:pPr>
            <w:r>
              <w:rPr>
                <w:lang w:eastAsia="en-GB"/>
              </w:rPr>
              <w:t>polymeric and similar materials, including laminates, whether textile-reinforced or not, but excluding other textiles and non-woven textiles (see</w:t>
            </w:r>
            <w:r w:rsidR="00494D63">
              <w:rPr>
                <w:lang w:eastAsia="en-GB"/>
              </w:rPr>
              <w:t xml:space="preserve"> </w:t>
            </w:r>
            <w:r>
              <w:rPr>
                <w:lang w:eastAsia="en-GB"/>
              </w:rPr>
              <w:t>8.2);</w:t>
            </w:r>
          </w:p>
          <w:p w:rsidR="00EA407D" w:rsidRDefault="007A70A3" w:rsidP="00494D63">
            <w:pPr>
              <w:numPr>
                <w:ilvl w:val="0"/>
                <w:numId w:val="16"/>
              </w:numPr>
              <w:tabs>
                <w:tab w:val="clear" w:pos="720"/>
              </w:tabs>
              <w:spacing w:after="120"/>
              <w:ind w:left="988"/>
            </w:pPr>
            <w:r>
              <w:rPr>
                <w:lang w:eastAsia="en-GB"/>
              </w:rPr>
              <w:t>paper and paperboard, up to a maximum mass per unit area of 400 g/m2 (see 8.3);</w:t>
            </w:r>
          </w:p>
          <w:p w:rsidR="00EA407D" w:rsidRDefault="007A70A3" w:rsidP="00494D63">
            <w:pPr>
              <w:numPr>
                <w:ilvl w:val="0"/>
                <w:numId w:val="16"/>
              </w:numPr>
              <w:tabs>
                <w:tab w:val="clear" w:pos="720"/>
              </w:tabs>
              <w:spacing w:after="120"/>
              <w:ind w:left="988"/>
            </w:pPr>
            <w:r>
              <w:rPr>
                <w:lang w:eastAsia="en-GB"/>
              </w:rPr>
              <w:t>natural, artificial or synthetic textiles (see 8.4);</w:t>
            </w:r>
          </w:p>
          <w:p w:rsidR="00EA407D" w:rsidRDefault="007A70A3" w:rsidP="00494D63">
            <w:pPr>
              <w:numPr>
                <w:ilvl w:val="0"/>
                <w:numId w:val="16"/>
              </w:numPr>
              <w:tabs>
                <w:tab w:val="clear" w:pos="720"/>
              </w:tabs>
              <w:spacing w:after="120"/>
              <w:ind w:left="988"/>
            </w:pPr>
            <w:r>
              <w:rPr>
                <w:lang w:eastAsia="en-GB"/>
              </w:rPr>
              <w:lastRenderedPageBreak/>
              <w:t>glass/ceramic/metallic materials, excepting lead solder when used for electrical connections (see 8.5);</w:t>
            </w:r>
          </w:p>
          <w:p w:rsidR="00EA407D" w:rsidRDefault="007A70A3" w:rsidP="00494D63">
            <w:pPr>
              <w:numPr>
                <w:ilvl w:val="0"/>
                <w:numId w:val="16"/>
              </w:numPr>
              <w:tabs>
                <w:tab w:val="clear" w:pos="720"/>
              </w:tabs>
              <w:spacing w:after="120"/>
              <w:ind w:left="988"/>
            </w:pPr>
            <w:r>
              <w:rPr>
                <w:lang w:eastAsia="en-GB"/>
              </w:rPr>
              <w:t>other materials, whether mass-coloured or not (e.g. wood, fibreboard, hardboard, bone and leather) (see 8.6);</w:t>
            </w:r>
          </w:p>
          <w:p w:rsidR="00EA407D" w:rsidRDefault="007A70A3" w:rsidP="00494D63">
            <w:pPr>
              <w:numPr>
                <w:ilvl w:val="0"/>
                <w:numId w:val="16"/>
              </w:numPr>
              <w:tabs>
                <w:tab w:val="clear" w:pos="720"/>
              </w:tabs>
              <w:spacing w:after="120"/>
              <w:ind w:left="988"/>
            </w:pPr>
            <w:r>
              <w:rPr>
                <w:lang w:eastAsia="en-GB"/>
              </w:rPr>
              <w:t>materials intended to leave a trace (e.g. the graphite materials in pencils and liquid ink in pens) (see 8.7);</w:t>
            </w:r>
          </w:p>
          <w:p w:rsidR="00EA407D" w:rsidRDefault="007A70A3" w:rsidP="00494D63">
            <w:pPr>
              <w:numPr>
                <w:ilvl w:val="0"/>
                <w:numId w:val="16"/>
              </w:numPr>
              <w:tabs>
                <w:tab w:val="clear" w:pos="720"/>
              </w:tabs>
              <w:spacing w:after="120"/>
              <w:ind w:left="988"/>
            </w:pPr>
            <w:r>
              <w:rPr>
                <w:lang w:eastAsia="en-GB"/>
              </w:rPr>
              <w:t>pliable modelling materials, including modelling clays and gels (see 8.8);</w:t>
            </w:r>
          </w:p>
          <w:p w:rsidR="00EA407D" w:rsidRDefault="007A70A3" w:rsidP="00494D63">
            <w:pPr>
              <w:numPr>
                <w:ilvl w:val="0"/>
                <w:numId w:val="16"/>
              </w:numPr>
              <w:tabs>
                <w:tab w:val="clear" w:pos="720"/>
              </w:tabs>
              <w:spacing w:after="120"/>
              <w:ind w:left="988"/>
            </w:pPr>
            <w:r>
              <w:rPr>
                <w:lang w:eastAsia="en-GB"/>
              </w:rPr>
              <w:t>paints to be used as such in the toy, including finger paints, varnishes, lacquers, glazing powders and similar materials in solid or liquid form (see 8.9).</w:t>
            </w:r>
          </w:p>
          <w:p w:rsidR="00EA407D" w:rsidRDefault="007A70A3">
            <w:pPr>
              <w:spacing w:after="120"/>
            </w:pPr>
            <w:r w:rsidRPr="003A7DC9">
              <w:rPr>
                <w:bCs/>
                <w:lang w:eastAsia="en-GB"/>
              </w:rPr>
              <w:t>1.3</w:t>
            </w:r>
            <w:r w:rsidRPr="003A7DC9">
              <w:rPr>
                <w:lang w:eastAsia="en-GB"/>
              </w:rPr>
              <w:t xml:space="preserve"> </w:t>
            </w:r>
            <w:r>
              <w:rPr>
                <w:lang w:eastAsia="en-GB"/>
              </w:rPr>
              <w:t>The requirements in this part of ISO 8124 apply to the following toys and toy components of toys and toy materials (see C.2.1):</w:t>
            </w:r>
          </w:p>
          <w:p w:rsidR="00EA407D" w:rsidRDefault="007A70A3" w:rsidP="00494D63">
            <w:pPr>
              <w:numPr>
                <w:ilvl w:val="0"/>
                <w:numId w:val="16"/>
              </w:numPr>
              <w:tabs>
                <w:tab w:val="clear" w:pos="720"/>
              </w:tabs>
              <w:spacing w:after="120"/>
              <w:ind w:left="988"/>
            </w:pPr>
            <w:r>
              <w:rPr>
                <w:lang w:eastAsia="en-GB"/>
              </w:rPr>
              <w:t>all intended food and oral contact toys, cosmetic toys and writing instruments categorized as toys, irrespective of any age grading or recommended age labelling;</w:t>
            </w:r>
          </w:p>
          <w:p w:rsidR="00EA407D" w:rsidRDefault="007A70A3" w:rsidP="00494D63">
            <w:pPr>
              <w:numPr>
                <w:ilvl w:val="0"/>
                <w:numId w:val="16"/>
              </w:numPr>
              <w:tabs>
                <w:tab w:val="clear" w:pos="720"/>
              </w:tabs>
              <w:spacing w:after="120"/>
              <w:ind w:left="988"/>
            </w:pPr>
            <w:r>
              <w:rPr>
                <w:lang w:eastAsia="en-GB"/>
              </w:rPr>
              <w:t>all toys intended for or suitable for children up to 72 months of age;</w:t>
            </w:r>
          </w:p>
          <w:p w:rsidR="00EA407D" w:rsidRDefault="007A70A3" w:rsidP="00494D63">
            <w:pPr>
              <w:numPr>
                <w:ilvl w:val="0"/>
                <w:numId w:val="16"/>
              </w:numPr>
              <w:tabs>
                <w:tab w:val="clear" w:pos="720"/>
              </w:tabs>
              <w:spacing w:after="120"/>
              <w:ind w:left="988"/>
            </w:pPr>
            <w:r>
              <w:rPr>
                <w:lang w:eastAsia="en-GB"/>
              </w:rPr>
              <w:t>accessible coatings, irrespective of any age grading or recommended age labelling;</w:t>
            </w:r>
          </w:p>
          <w:p w:rsidR="00EA407D" w:rsidRDefault="007A70A3" w:rsidP="00494D63">
            <w:pPr>
              <w:numPr>
                <w:ilvl w:val="0"/>
                <w:numId w:val="16"/>
              </w:numPr>
              <w:tabs>
                <w:tab w:val="clear" w:pos="720"/>
              </w:tabs>
              <w:spacing w:after="120"/>
              <w:ind w:left="988"/>
            </w:pPr>
            <w:r>
              <w:rPr>
                <w:lang w:eastAsia="en-GB"/>
              </w:rPr>
              <w:t>accessible liquids, pastes, gels (e.g. liquid paints, modelling compounds), irrespective of any age grading or recommended age labelling.</w:t>
            </w:r>
          </w:p>
          <w:p w:rsidR="00EA407D" w:rsidRDefault="007A70A3">
            <w:pPr>
              <w:spacing w:after="120"/>
            </w:pPr>
            <w:r w:rsidRPr="003A7DC9">
              <w:rPr>
                <w:bCs/>
                <w:lang w:eastAsia="en-GB"/>
              </w:rPr>
              <w:t>1.4</w:t>
            </w:r>
            <w:r w:rsidRPr="003A7DC9">
              <w:rPr>
                <w:lang w:eastAsia="en-GB"/>
              </w:rPr>
              <w:t xml:space="preserve"> </w:t>
            </w:r>
            <w:r>
              <w:rPr>
                <w:lang w:eastAsia="en-GB"/>
              </w:rPr>
              <w:t>Packaging materials are not included, unless they are intended to be kept, e.g. boxes, containers, or unless they form part of the toy or have intended play value (see C.2.2).</w:t>
            </w:r>
          </w:p>
          <w:p w:rsidR="00EA407D" w:rsidRDefault="007A70A3">
            <w:pPr>
              <w:spacing w:after="120"/>
            </w:pPr>
            <w:r>
              <w:rPr>
                <w:lang w:eastAsia="en-GB"/>
              </w:rPr>
              <w:t>NOTE  No requirements are given for toys and parts of toys which, due to their accessibility, function, mass, size or other characteristics, are obviously unlikely to be sucked, licked or swallowed, bearing in mind the normal and foreseeable behaviour of children (e.g. the coating on the crossbeam of a swing set, the tyres of a toy bicycle).</w:t>
            </w:r>
            <w:bookmarkStart w:id="14" w:name="sps6a"/>
            <w:bookmarkEnd w:id="14"/>
          </w:p>
        </w:tc>
      </w:tr>
      <w:tr w:rsidR="00EA407D" w:rsidTr="0069259F">
        <w:tc>
          <w:tcPr>
            <w:tcW w:w="713" w:type="dxa"/>
            <w:tcBorders>
              <w:top w:val="single" w:sz="6" w:space="0" w:color="auto"/>
              <w:bottom w:val="single" w:sz="6" w:space="0" w:color="auto"/>
            </w:tcBorders>
            <w:shd w:val="clear" w:color="auto" w:fill="auto"/>
          </w:tcPr>
          <w:p w:rsidR="00F85C99" w:rsidRPr="002F6A28" w:rsidRDefault="007A70A3" w:rsidP="00F04CD2">
            <w:pPr>
              <w:spacing w:before="80" w:after="8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7A70A3" w:rsidP="00F04CD2">
            <w:pPr>
              <w:spacing w:before="80" w:after="80"/>
              <w:rPr>
                <w:b/>
              </w:rPr>
            </w:pPr>
            <w:r w:rsidRPr="002F6A28">
              <w:rPr>
                <w:b/>
              </w:rPr>
              <w:t xml:space="preserve">Objective and rationale, including the nature of urgent problems where applicable: </w:t>
            </w:r>
            <w:r>
              <w:t>Consumer information, labelling; Prevention of deceptive practices and consumer protection; Quality requirements</w:t>
            </w:r>
            <w:bookmarkStart w:id="15" w:name="sps7f"/>
            <w:bookmarkEnd w:id="15"/>
          </w:p>
        </w:tc>
      </w:tr>
      <w:tr w:rsidR="00EA407D" w:rsidTr="0069259F">
        <w:tc>
          <w:tcPr>
            <w:tcW w:w="713" w:type="dxa"/>
            <w:tcBorders>
              <w:top w:val="single" w:sz="6" w:space="0" w:color="auto"/>
              <w:bottom w:val="single" w:sz="6" w:space="0" w:color="auto"/>
            </w:tcBorders>
            <w:shd w:val="clear" w:color="auto" w:fill="auto"/>
          </w:tcPr>
          <w:p w:rsidR="00F85C99" w:rsidRPr="002F6A28" w:rsidRDefault="007A70A3" w:rsidP="00F04CD2">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A70A3" w:rsidP="00F04CD2">
            <w:pPr>
              <w:spacing w:before="80" w:after="80"/>
            </w:pPr>
            <w:r w:rsidRPr="002F6A28">
              <w:rPr>
                <w:b/>
              </w:rPr>
              <w:t>Relevant documents:</w:t>
            </w:r>
            <w:r w:rsidRPr="002F6A28">
              <w:t xml:space="preserve"> </w:t>
            </w:r>
            <w:r>
              <w:rPr>
                <w:lang w:eastAsia="en-GB"/>
              </w:rPr>
              <w:t>The following referenced documents are indispensable for the application of this document. For dated references, only the edition cited applies. For undated references, the latest edition of the referenced document (including any amendments) applies.</w:t>
            </w:r>
          </w:p>
          <w:p w:rsidR="00EA407D" w:rsidRDefault="007A70A3" w:rsidP="003A7DC9">
            <w:pPr>
              <w:pStyle w:val="ListParagraph"/>
              <w:numPr>
                <w:ilvl w:val="0"/>
                <w:numId w:val="18"/>
              </w:numPr>
              <w:spacing w:after="120"/>
            </w:pPr>
            <w:r>
              <w:rPr>
                <w:lang w:eastAsia="en-GB"/>
              </w:rPr>
              <w:t xml:space="preserve">ISO 8124-1, </w:t>
            </w:r>
            <w:r w:rsidRPr="003A7DC9">
              <w:rPr>
                <w:i/>
                <w:iCs/>
                <w:lang w:eastAsia="en-GB"/>
              </w:rPr>
              <w:t>Safety of toys</w:t>
            </w:r>
            <w:r w:rsidR="00F04CD2">
              <w:rPr>
                <w:i/>
                <w:iCs/>
                <w:lang w:eastAsia="en-GB"/>
              </w:rPr>
              <w:t xml:space="preserve"> –</w:t>
            </w:r>
            <w:r w:rsidRPr="003A7DC9">
              <w:rPr>
                <w:i/>
                <w:iCs/>
                <w:lang w:eastAsia="en-GB"/>
              </w:rPr>
              <w:t xml:space="preserve"> Part 1: Safety aspects related to mechanical and physical properties</w:t>
            </w:r>
          </w:p>
          <w:p w:rsidR="00EA407D" w:rsidRDefault="007A70A3" w:rsidP="00F04CD2">
            <w:pPr>
              <w:pStyle w:val="ListParagraph"/>
              <w:numPr>
                <w:ilvl w:val="0"/>
                <w:numId w:val="18"/>
              </w:numPr>
              <w:spacing w:after="120"/>
            </w:pPr>
            <w:r>
              <w:rPr>
                <w:lang w:eastAsia="en-GB"/>
              </w:rPr>
              <w:t xml:space="preserve">ISO 3696, </w:t>
            </w:r>
            <w:r w:rsidRPr="003A7DC9">
              <w:rPr>
                <w:i/>
                <w:iCs/>
                <w:lang w:eastAsia="en-GB"/>
              </w:rPr>
              <w:t>Water for analytical laboratory use</w:t>
            </w:r>
            <w:r w:rsidR="00F04CD2">
              <w:rPr>
                <w:i/>
                <w:iCs/>
                <w:lang w:eastAsia="en-GB"/>
              </w:rPr>
              <w:t xml:space="preserve"> –</w:t>
            </w:r>
            <w:r w:rsidRPr="003A7DC9">
              <w:rPr>
                <w:i/>
                <w:iCs/>
                <w:lang w:eastAsia="en-GB"/>
              </w:rPr>
              <w:t xml:space="preserve"> Specification and test methods</w:t>
            </w:r>
            <w:bookmarkStart w:id="16" w:name="sps9a"/>
            <w:bookmarkEnd w:id="16"/>
            <w:r w:rsidRPr="003A7DC9">
              <w:rPr>
                <w:bCs/>
              </w:rPr>
              <w:t xml:space="preserve"> </w:t>
            </w:r>
            <w:bookmarkStart w:id="17" w:name="sps9b"/>
            <w:bookmarkEnd w:id="17"/>
          </w:p>
        </w:tc>
      </w:tr>
      <w:tr w:rsidR="00EA407D" w:rsidTr="0069259F">
        <w:tc>
          <w:tcPr>
            <w:tcW w:w="713" w:type="dxa"/>
            <w:tcBorders>
              <w:top w:val="single" w:sz="6" w:space="0" w:color="auto"/>
              <w:bottom w:val="single" w:sz="6" w:space="0" w:color="auto"/>
            </w:tcBorders>
            <w:shd w:val="clear" w:color="auto" w:fill="auto"/>
          </w:tcPr>
          <w:p w:rsidR="00EE3A11" w:rsidRPr="002F6A28" w:rsidRDefault="007A70A3" w:rsidP="00F04CD2">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A70A3" w:rsidP="00F04CD2">
            <w:pPr>
              <w:spacing w:before="80" w:after="80"/>
            </w:pPr>
            <w:r w:rsidRPr="002F6A28">
              <w:rPr>
                <w:b/>
              </w:rPr>
              <w:t xml:space="preserve">Proposed date of adoption: </w:t>
            </w:r>
            <w:bookmarkStart w:id="18" w:name="sps10a"/>
            <w:r w:rsidRPr="002F6A28">
              <w:t>27 November 2017</w:t>
            </w:r>
            <w:bookmarkStart w:id="19" w:name="sps10b"/>
            <w:bookmarkEnd w:id="18"/>
            <w:bookmarkEnd w:id="19"/>
          </w:p>
          <w:p w:rsidR="00EE3A11" w:rsidRPr="002F6A28" w:rsidRDefault="007A70A3" w:rsidP="003A7DC9">
            <w:pPr>
              <w:spacing w:after="120"/>
            </w:pPr>
            <w:r w:rsidRPr="002F6A28">
              <w:rPr>
                <w:b/>
              </w:rPr>
              <w:t xml:space="preserve">Proposed date of entry into force: </w:t>
            </w:r>
            <w:bookmarkStart w:id="20" w:name="sps11a"/>
            <w:r w:rsidRPr="002F6A28">
              <w:t>27 November 2017</w:t>
            </w:r>
            <w:bookmarkStart w:id="21" w:name="sps11b"/>
            <w:bookmarkEnd w:id="20"/>
            <w:bookmarkEnd w:id="21"/>
          </w:p>
        </w:tc>
      </w:tr>
      <w:tr w:rsidR="00EA407D" w:rsidTr="0069259F">
        <w:tc>
          <w:tcPr>
            <w:tcW w:w="713" w:type="dxa"/>
            <w:tcBorders>
              <w:top w:val="single" w:sz="6" w:space="0" w:color="auto"/>
              <w:bottom w:val="single" w:sz="6" w:space="0" w:color="auto"/>
            </w:tcBorders>
            <w:shd w:val="clear" w:color="auto" w:fill="auto"/>
          </w:tcPr>
          <w:p w:rsidR="00F85C99" w:rsidRPr="002F6A28" w:rsidRDefault="007A70A3" w:rsidP="00F04CD2">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A70A3" w:rsidP="00F04CD2">
            <w:pPr>
              <w:spacing w:before="80" w:after="80"/>
            </w:pPr>
            <w:r w:rsidRPr="002F6A28">
              <w:rPr>
                <w:b/>
              </w:rPr>
              <w:t xml:space="preserve">Final date for comments: </w:t>
            </w:r>
            <w:r>
              <w:t>27 November 2017</w:t>
            </w:r>
            <w:bookmarkStart w:id="22" w:name="sps12a"/>
            <w:bookmarkEnd w:id="22"/>
          </w:p>
        </w:tc>
      </w:tr>
      <w:tr w:rsidR="00EA407D" w:rsidTr="0069259F">
        <w:tc>
          <w:tcPr>
            <w:tcW w:w="713" w:type="dxa"/>
            <w:tcBorders>
              <w:top w:val="single" w:sz="6" w:space="0" w:color="auto"/>
            </w:tcBorders>
            <w:shd w:val="clear" w:color="auto" w:fill="auto"/>
          </w:tcPr>
          <w:p w:rsidR="00F85C99" w:rsidRPr="002F6A28" w:rsidRDefault="007A70A3" w:rsidP="00F04CD2">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7A70A3" w:rsidP="00F04CD2">
            <w:pPr>
              <w:spacing w:before="80" w:after="8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7A70A3" w:rsidP="00E969D2">
            <w:pPr>
              <w:keepNext/>
              <w:keepLines/>
              <w:spacing w:after="120"/>
              <w:jc w:val="left"/>
            </w:pPr>
            <w:r>
              <w:t>Botswana Bureau of Standards</w:t>
            </w:r>
            <w:r>
              <w:br/>
              <w:t>Information Centre</w:t>
            </w:r>
            <w:r>
              <w:br/>
              <w:t>Private Bag BO 48</w:t>
            </w:r>
            <w:r>
              <w:br/>
              <w:t>Gaborone</w:t>
            </w:r>
            <w:r>
              <w:br/>
              <w:t>Botswana</w:t>
            </w:r>
            <w:r>
              <w:br/>
              <w:t>Tel: (+267) 3903200</w:t>
            </w:r>
            <w:r>
              <w:br/>
              <w:t>Fax: (+267) 3903120</w:t>
            </w:r>
            <w:r>
              <w:br/>
              <w:t>Toll Free Number: (0800 600 900)</w:t>
            </w:r>
            <w:r>
              <w:br/>
              <w:t xml:space="preserve">Email: </w:t>
            </w:r>
            <w:hyperlink r:id="rId9" w:history="1">
              <w:r>
                <w:rPr>
                  <w:color w:val="0000FF"/>
                  <w:u w:val="single"/>
                </w:rPr>
                <w:t>infoc@hq.bobstandards.bw</w:t>
              </w:r>
            </w:hyperlink>
            <w:bookmarkStart w:id="24" w:name="sps13c"/>
            <w:bookmarkEnd w:id="24"/>
          </w:p>
        </w:tc>
      </w:tr>
    </w:tbl>
    <w:p w:rsidR="00EE3A11" w:rsidRPr="002F6A28" w:rsidRDefault="0068436F" w:rsidP="002F6A28"/>
    <w:sectPr w:rsidR="00EE3A11" w:rsidRPr="002F6A28" w:rsidSect="006B276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F7" w:rsidRDefault="007A70A3">
      <w:r>
        <w:separator/>
      </w:r>
    </w:p>
  </w:endnote>
  <w:endnote w:type="continuationSeparator" w:id="0">
    <w:p w:rsidR="000C0FF7" w:rsidRDefault="007A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B2769" w:rsidRDefault="006B2769" w:rsidP="006B276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B2769" w:rsidRDefault="006B2769" w:rsidP="006B276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A70A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F7" w:rsidRDefault="007A70A3">
      <w:r>
        <w:separator/>
      </w:r>
    </w:p>
  </w:footnote>
  <w:footnote w:type="continuationSeparator" w:id="0">
    <w:p w:rsidR="000C0FF7" w:rsidRDefault="007A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69" w:rsidRPr="006B2769" w:rsidRDefault="006B2769" w:rsidP="006B2769">
    <w:pPr>
      <w:pStyle w:val="Header"/>
      <w:pBdr>
        <w:bottom w:val="single" w:sz="4" w:space="1" w:color="auto"/>
      </w:pBdr>
      <w:tabs>
        <w:tab w:val="clear" w:pos="4513"/>
        <w:tab w:val="clear" w:pos="9027"/>
      </w:tabs>
      <w:jc w:val="center"/>
    </w:pPr>
    <w:r w:rsidRPr="006B2769">
      <w:t>G/TBT/N/BWA/66</w:t>
    </w:r>
  </w:p>
  <w:p w:rsidR="006B2769" w:rsidRPr="006B2769" w:rsidRDefault="006B2769" w:rsidP="006B2769">
    <w:pPr>
      <w:pStyle w:val="Header"/>
      <w:pBdr>
        <w:bottom w:val="single" w:sz="4" w:space="1" w:color="auto"/>
      </w:pBdr>
      <w:tabs>
        <w:tab w:val="clear" w:pos="4513"/>
        <w:tab w:val="clear" w:pos="9027"/>
      </w:tabs>
      <w:jc w:val="center"/>
    </w:pPr>
  </w:p>
  <w:p w:rsidR="006B2769" w:rsidRPr="006B2769" w:rsidRDefault="006B2769" w:rsidP="006B2769">
    <w:pPr>
      <w:pStyle w:val="Header"/>
      <w:pBdr>
        <w:bottom w:val="single" w:sz="4" w:space="1" w:color="auto"/>
      </w:pBdr>
      <w:tabs>
        <w:tab w:val="clear" w:pos="4513"/>
        <w:tab w:val="clear" w:pos="9027"/>
      </w:tabs>
      <w:jc w:val="center"/>
    </w:pPr>
    <w:r w:rsidRPr="006B2769">
      <w:t xml:space="preserve">- </w:t>
    </w:r>
    <w:r w:rsidRPr="006B2769">
      <w:fldChar w:fldCharType="begin"/>
    </w:r>
    <w:r w:rsidRPr="006B2769">
      <w:instrText xml:space="preserve"> PAGE </w:instrText>
    </w:r>
    <w:r w:rsidRPr="006B2769">
      <w:fldChar w:fldCharType="separate"/>
    </w:r>
    <w:r w:rsidR="0068436F">
      <w:rPr>
        <w:noProof/>
      </w:rPr>
      <w:t>2</w:t>
    </w:r>
    <w:r w:rsidRPr="006B2769">
      <w:fldChar w:fldCharType="end"/>
    </w:r>
    <w:r w:rsidRPr="006B2769">
      <w:t xml:space="preserve"> -</w:t>
    </w:r>
  </w:p>
  <w:p w:rsidR="009239F7" w:rsidRPr="006B2769" w:rsidRDefault="0068436F" w:rsidP="006B276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69" w:rsidRPr="006B2769" w:rsidRDefault="006B2769" w:rsidP="006B2769">
    <w:pPr>
      <w:pStyle w:val="Header"/>
      <w:pBdr>
        <w:bottom w:val="single" w:sz="4" w:space="1" w:color="auto"/>
      </w:pBdr>
      <w:tabs>
        <w:tab w:val="clear" w:pos="4513"/>
        <w:tab w:val="clear" w:pos="9027"/>
      </w:tabs>
      <w:jc w:val="center"/>
    </w:pPr>
    <w:r w:rsidRPr="006B2769">
      <w:t>G/TBT/N/BWA/66</w:t>
    </w:r>
  </w:p>
  <w:p w:rsidR="006B2769" w:rsidRPr="006B2769" w:rsidRDefault="006B2769" w:rsidP="006B2769">
    <w:pPr>
      <w:pStyle w:val="Header"/>
      <w:pBdr>
        <w:bottom w:val="single" w:sz="4" w:space="1" w:color="auto"/>
      </w:pBdr>
      <w:tabs>
        <w:tab w:val="clear" w:pos="4513"/>
        <w:tab w:val="clear" w:pos="9027"/>
      </w:tabs>
      <w:jc w:val="center"/>
    </w:pPr>
  </w:p>
  <w:p w:rsidR="006B2769" w:rsidRPr="006B2769" w:rsidRDefault="006B2769" w:rsidP="006B2769">
    <w:pPr>
      <w:pStyle w:val="Header"/>
      <w:pBdr>
        <w:bottom w:val="single" w:sz="4" w:space="1" w:color="auto"/>
      </w:pBdr>
      <w:tabs>
        <w:tab w:val="clear" w:pos="4513"/>
        <w:tab w:val="clear" w:pos="9027"/>
      </w:tabs>
      <w:jc w:val="center"/>
    </w:pPr>
    <w:r w:rsidRPr="006B2769">
      <w:t xml:space="preserve">- </w:t>
    </w:r>
    <w:r w:rsidRPr="006B2769">
      <w:fldChar w:fldCharType="begin"/>
    </w:r>
    <w:r w:rsidRPr="006B2769">
      <w:instrText xml:space="preserve"> PAGE </w:instrText>
    </w:r>
    <w:r w:rsidRPr="006B2769">
      <w:fldChar w:fldCharType="separate"/>
    </w:r>
    <w:r w:rsidR="00956E90">
      <w:rPr>
        <w:noProof/>
      </w:rPr>
      <w:t>3</w:t>
    </w:r>
    <w:r w:rsidRPr="006B2769">
      <w:fldChar w:fldCharType="end"/>
    </w:r>
    <w:r w:rsidRPr="006B2769">
      <w:t xml:space="preserve"> -</w:t>
    </w:r>
  </w:p>
  <w:p w:rsidR="009239F7" w:rsidRPr="006B2769" w:rsidRDefault="0068436F" w:rsidP="006B276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407D" w:rsidTr="008612A9">
      <w:trPr>
        <w:trHeight w:val="240"/>
        <w:jc w:val="center"/>
      </w:trPr>
      <w:tc>
        <w:tcPr>
          <w:tcW w:w="3794" w:type="dxa"/>
          <w:shd w:val="clear" w:color="auto" w:fill="FFFFFF"/>
          <w:tcMar>
            <w:left w:w="108" w:type="dxa"/>
            <w:right w:w="108" w:type="dxa"/>
          </w:tcMar>
          <w:vAlign w:val="center"/>
        </w:tcPr>
        <w:p w:rsidR="00ED54E0" w:rsidRPr="009239F7" w:rsidRDefault="0068436F"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6B2769" w:rsidP="00B801E9">
          <w:pPr>
            <w:jc w:val="right"/>
            <w:rPr>
              <w:b/>
              <w:color w:val="FF0000"/>
              <w:szCs w:val="16"/>
            </w:rPr>
          </w:pPr>
          <w:r>
            <w:rPr>
              <w:b/>
              <w:color w:val="FF0000"/>
              <w:szCs w:val="16"/>
            </w:rPr>
            <w:t xml:space="preserve"> </w:t>
          </w:r>
        </w:p>
      </w:tc>
    </w:tr>
    <w:bookmarkEnd w:id="25"/>
    <w:tr w:rsidR="00EA407D" w:rsidTr="008612A9">
      <w:trPr>
        <w:trHeight w:val="213"/>
        <w:jc w:val="center"/>
      </w:trPr>
      <w:tc>
        <w:tcPr>
          <w:tcW w:w="3794" w:type="dxa"/>
          <w:vMerge w:val="restart"/>
          <w:shd w:val="clear" w:color="auto" w:fill="FFFFFF"/>
          <w:tcMar>
            <w:left w:w="0" w:type="dxa"/>
            <w:right w:w="0" w:type="dxa"/>
          </w:tcMar>
        </w:tcPr>
        <w:p w:rsidR="00ED54E0" w:rsidRPr="009239F7" w:rsidRDefault="007A70A3" w:rsidP="00B801E9">
          <w:pPr>
            <w:jc w:val="left"/>
          </w:pPr>
          <w:r>
            <w:rPr>
              <w:noProof/>
              <w:lang w:val="en-US"/>
            </w:rPr>
            <w:drawing>
              <wp:inline distT="0" distB="0" distL="0" distR="0" wp14:anchorId="2867BD2A" wp14:editId="2ED0B838">
                <wp:extent cx="2401570" cy="71564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8436F" w:rsidP="00B801E9">
          <w:pPr>
            <w:jc w:val="right"/>
            <w:rPr>
              <w:b/>
              <w:szCs w:val="16"/>
            </w:rPr>
          </w:pPr>
        </w:p>
      </w:tc>
    </w:tr>
    <w:tr w:rsidR="00EA407D" w:rsidTr="008612A9">
      <w:trPr>
        <w:trHeight w:val="868"/>
        <w:jc w:val="center"/>
      </w:trPr>
      <w:tc>
        <w:tcPr>
          <w:tcW w:w="3794" w:type="dxa"/>
          <w:vMerge/>
          <w:shd w:val="clear" w:color="auto" w:fill="FFFFFF"/>
          <w:tcMar>
            <w:left w:w="108" w:type="dxa"/>
            <w:right w:w="108" w:type="dxa"/>
          </w:tcMar>
        </w:tcPr>
        <w:p w:rsidR="00ED54E0" w:rsidRPr="009239F7" w:rsidRDefault="0068436F" w:rsidP="00B801E9">
          <w:pPr>
            <w:jc w:val="left"/>
            <w:rPr>
              <w:noProof/>
              <w:lang w:eastAsia="en-GB"/>
            </w:rPr>
          </w:pPr>
        </w:p>
      </w:tc>
      <w:tc>
        <w:tcPr>
          <w:tcW w:w="5448" w:type="dxa"/>
          <w:gridSpan w:val="2"/>
          <w:shd w:val="clear" w:color="auto" w:fill="FFFFFF"/>
          <w:tcMar>
            <w:left w:w="108" w:type="dxa"/>
            <w:right w:w="108" w:type="dxa"/>
          </w:tcMar>
        </w:tcPr>
        <w:p w:rsidR="006B2769" w:rsidRDefault="006B2769" w:rsidP="00B801E9">
          <w:pPr>
            <w:jc w:val="right"/>
            <w:rPr>
              <w:b/>
              <w:szCs w:val="16"/>
            </w:rPr>
          </w:pPr>
          <w:bookmarkStart w:id="26" w:name="bmkSymbols"/>
          <w:r>
            <w:rPr>
              <w:b/>
              <w:szCs w:val="16"/>
            </w:rPr>
            <w:t>G/TBT/N/BWA/66</w:t>
          </w:r>
        </w:p>
        <w:bookmarkEnd w:id="26"/>
        <w:p w:rsidR="00ED54E0" w:rsidRPr="009239F7" w:rsidRDefault="0068436F" w:rsidP="00B801E9">
          <w:pPr>
            <w:jc w:val="right"/>
            <w:rPr>
              <w:b/>
              <w:szCs w:val="16"/>
            </w:rPr>
          </w:pPr>
        </w:p>
      </w:tc>
    </w:tr>
    <w:tr w:rsidR="00EA407D" w:rsidTr="008612A9">
      <w:trPr>
        <w:trHeight w:val="240"/>
        <w:jc w:val="center"/>
      </w:trPr>
      <w:tc>
        <w:tcPr>
          <w:tcW w:w="3794" w:type="dxa"/>
          <w:vMerge/>
          <w:shd w:val="clear" w:color="auto" w:fill="FFFFFF"/>
          <w:tcMar>
            <w:left w:w="108" w:type="dxa"/>
            <w:right w:w="108" w:type="dxa"/>
          </w:tcMar>
          <w:vAlign w:val="center"/>
        </w:tcPr>
        <w:p w:rsidR="00ED54E0" w:rsidRPr="009239F7" w:rsidRDefault="0068436F" w:rsidP="00B801E9"/>
      </w:tc>
      <w:tc>
        <w:tcPr>
          <w:tcW w:w="5448" w:type="dxa"/>
          <w:gridSpan w:val="2"/>
          <w:shd w:val="clear" w:color="auto" w:fill="FFFFFF"/>
          <w:tcMar>
            <w:left w:w="108" w:type="dxa"/>
            <w:right w:w="108" w:type="dxa"/>
          </w:tcMar>
          <w:vAlign w:val="center"/>
        </w:tcPr>
        <w:p w:rsidR="00ED54E0" w:rsidRPr="009239F7" w:rsidRDefault="00C576CE" w:rsidP="00B801E9">
          <w:pPr>
            <w:jc w:val="right"/>
            <w:rPr>
              <w:szCs w:val="16"/>
            </w:rPr>
          </w:pPr>
          <w:bookmarkStart w:id="27" w:name="spsDateDistribution"/>
          <w:bookmarkStart w:id="28" w:name="bmkDate"/>
          <w:bookmarkEnd w:id="27"/>
          <w:bookmarkEnd w:id="28"/>
          <w:r>
            <w:rPr>
              <w:szCs w:val="16"/>
            </w:rPr>
            <w:t>12 October 2017</w:t>
          </w:r>
        </w:p>
      </w:tc>
    </w:tr>
    <w:tr w:rsidR="00EA407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A70A3" w:rsidP="0097650D">
          <w:pPr>
            <w:jc w:val="left"/>
            <w:rPr>
              <w:b/>
            </w:rPr>
          </w:pPr>
          <w:bookmarkStart w:id="29" w:name="bmkSerial"/>
          <w:r w:rsidRPr="002F6A28">
            <w:rPr>
              <w:color w:val="FF0000"/>
              <w:szCs w:val="16"/>
            </w:rPr>
            <w:t>(</w:t>
          </w:r>
          <w:bookmarkStart w:id="30" w:name="spsSerialNumber"/>
          <w:bookmarkEnd w:id="30"/>
          <w:r w:rsidR="00C576CE">
            <w:rPr>
              <w:color w:val="FF0000"/>
              <w:szCs w:val="16"/>
            </w:rPr>
            <w:t>17-5490</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7A70A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8436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8436F">
            <w:rPr>
              <w:bCs/>
              <w:noProof/>
              <w:szCs w:val="16"/>
            </w:rPr>
            <w:t>2</w:t>
          </w:r>
          <w:r w:rsidRPr="002F6A28">
            <w:rPr>
              <w:bCs/>
              <w:szCs w:val="16"/>
            </w:rPr>
            <w:fldChar w:fldCharType="end"/>
          </w:r>
          <w:bookmarkEnd w:id="31"/>
        </w:p>
      </w:tc>
    </w:tr>
    <w:tr w:rsidR="00EA407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B2769"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B2769" w:rsidP="00B801E9">
          <w:pPr>
            <w:jc w:val="right"/>
            <w:rPr>
              <w:bCs/>
              <w:szCs w:val="18"/>
            </w:rPr>
          </w:pPr>
          <w:bookmarkStart w:id="33" w:name="bmkLanguage"/>
          <w:r>
            <w:rPr>
              <w:bCs/>
              <w:szCs w:val="18"/>
            </w:rPr>
            <w:t>Original: English</w:t>
          </w:r>
          <w:bookmarkEnd w:id="33"/>
        </w:p>
      </w:tc>
    </w:tr>
  </w:tbl>
  <w:p w:rsidR="00ED54E0" w:rsidRPr="002F6A28" w:rsidRDefault="00684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4733FB3"/>
    <w:multiLevelType w:val="hybridMultilevel"/>
    <w:tmpl w:val="BB9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07A6C454">
      <w:start w:val="1"/>
      <w:numFmt w:val="decimal"/>
      <w:pStyle w:val="SummaryText"/>
      <w:lvlText w:val="%1."/>
      <w:lvlJc w:val="left"/>
      <w:pPr>
        <w:ind w:left="360" w:hanging="360"/>
      </w:pPr>
    </w:lvl>
    <w:lvl w:ilvl="1" w:tplc="4C74575C" w:tentative="1">
      <w:start w:val="1"/>
      <w:numFmt w:val="lowerLetter"/>
      <w:lvlText w:val="%2."/>
      <w:lvlJc w:val="left"/>
      <w:pPr>
        <w:ind w:left="1080" w:hanging="360"/>
      </w:pPr>
    </w:lvl>
    <w:lvl w:ilvl="2" w:tplc="E4448F92" w:tentative="1">
      <w:start w:val="1"/>
      <w:numFmt w:val="lowerRoman"/>
      <w:lvlText w:val="%3."/>
      <w:lvlJc w:val="right"/>
      <w:pPr>
        <w:ind w:left="1800" w:hanging="180"/>
      </w:pPr>
    </w:lvl>
    <w:lvl w:ilvl="3" w:tplc="6338CF96" w:tentative="1">
      <w:start w:val="1"/>
      <w:numFmt w:val="decimal"/>
      <w:lvlText w:val="%4."/>
      <w:lvlJc w:val="left"/>
      <w:pPr>
        <w:ind w:left="2520" w:hanging="360"/>
      </w:pPr>
    </w:lvl>
    <w:lvl w:ilvl="4" w:tplc="3D1230F6" w:tentative="1">
      <w:start w:val="1"/>
      <w:numFmt w:val="lowerLetter"/>
      <w:lvlText w:val="%5."/>
      <w:lvlJc w:val="left"/>
      <w:pPr>
        <w:ind w:left="3240" w:hanging="360"/>
      </w:pPr>
    </w:lvl>
    <w:lvl w:ilvl="5" w:tplc="B042674A" w:tentative="1">
      <w:start w:val="1"/>
      <w:numFmt w:val="lowerRoman"/>
      <w:lvlText w:val="%6."/>
      <w:lvlJc w:val="right"/>
      <w:pPr>
        <w:ind w:left="3960" w:hanging="180"/>
      </w:pPr>
    </w:lvl>
    <w:lvl w:ilvl="6" w:tplc="E8AE07A0" w:tentative="1">
      <w:start w:val="1"/>
      <w:numFmt w:val="decimal"/>
      <w:lvlText w:val="%7."/>
      <w:lvlJc w:val="left"/>
      <w:pPr>
        <w:ind w:left="4680" w:hanging="360"/>
      </w:pPr>
    </w:lvl>
    <w:lvl w:ilvl="7" w:tplc="FA52B91A" w:tentative="1">
      <w:start w:val="1"/>
      <w:numFmt w:val="lowerLetter"/>
      <w:lvlText w:val="%8."/>
      <w:lvlJc w:val="left"/>
      <w:pPr>
        <w:ind w:left="5400" w:hanging="360"/>
      </w:pPr>
    </w:lvl>
    <w:lvl w:ilvl="8" w:tplc="95CE9A1A" w:tentative="1">
      <w:start w:val="1"/>
      <w:numFmt w:val="lowerRoman"/>
      <w:lvlText w:val="%9."/>
      <w:lvlJc w:val="right"/>
      <w:pPr>
        <w:ind w:left="6120" w:hanging="180"/>
      </w:pPr>
    </w:lvl>
  </w:abstractNum>
  <w:abstractNum w:abstractNumId="15">
    <w:nsid w:val="63D526BB"/>
    <w:multiLevelType w:val="hybridMultilevel"/>
    <w:tmpl w:val="63D526BB"/>
    <w:lvl w:ilvl="0" w:tplc="D292CF06">
      <w:start w:val="1"/>
      <w:numFmt w:val="bullet"/>
      <w:lvlText w:val=""/>
      <w:lvlJc w:val="left"/>
      <w:pPr>
        <w:tabs>
          <w:tab w:val="num" w:pos="720"/>
        </w:tabs>
        <w:ind w:left="720" w:hanging="360"/>
      </w:pPr>
      <w:rPr>
        <w:rFonts w:ascii="Symbol" w:hAnsi="Symbol"/>
      </w:rPr>
    </w:lvl>
    <w:lvl w:ilvl="1" w:tplc="A028B7EC">
      <w:start w:val="1"/>
      <w:numFmt w:val="bullet"/>
      <w:lvlText w:val="o"/>
      <w:lvlJc w:val="left"/>
      <w:pPr>
        <w:tabs>
          <w:tab w:val="num" w:pos="1440"/>
        </w:tabs>
        <w:ind w:left="1440" w:hanging="360"/>
      </w:pPr>
      <w:rPr>
        <w:rFonts w:ascii="Courier New" w:hAnsi="Courier New"/>
      </w:rPr>
    </w:lvl>
    <w:lvl w:ilvl="2" w:tplc="8B8C23A4">
      <w:start w:val="1"/>
      <w:numFmt w:val="bullet"/>
      <w:lvlText w:val=""/>
      <w:lvlJc w:val="left"/>
      <w:pPr>
        <w:tabs>
          <w:tab w:val="num" w:pos="2160"/>
        </w:tabs>
        <w:ind w:left="2160" w:hanging="360"/>
      </w:pPr>
      <w:rPr>
        <w:rFonts w:ascii="Wingdings" w:hAnsi="Wingdings"/>
      </w:rPr>
    </w:lvl>
    <w:lvl w:ilvl="3" w:tplc="A2FE78D8">
      <w:start w:val="1"/>
      <w:numFmt w:val="bullet"/>
      <w:lvlText w:val=""/>
      <w:lvlJc w:val="left"/>
      <w:pPr>
        <w:tabs>
          <w:tab w:val="num" w:pos="2880"/>
        </w:tabs>
        <w:ind w:left="2880" w:hanging="360"/>
      </w:pPr>
      <w:rPr>
        <w:rFonts w:ascii="Symbol" w:hAnsi="Symbol"/>
      </w:rPr>
    </w:lvl>
    <w:lvl w:ilvl="4" w:tplc="9064D49C">
      <w:start w:val="1"/>
      <w:numFmt w:val="bullet"/>
      <w:lvlText w:val="o"/>
      <w:lvlJc w:val="left"/>
      <w:pPr>
        <w:tabs>
          <w:tab w:val="num" w:pos="3600"/>
        </w:tabs>
        <w:ind w:left="3600" w:hanging="360"/>
      </w:pPr>
      <w:rPr>
        <w:rFonts w:ascii="Courier New" w:hAnsi="Courier New"/>
      </w:rPr>
    </w:lvl>
    <w:lvl w:ilvl="5" w:tplc="1EE0D578">
      <w:start w:val="1"/>
      <w:numFmt w:val="bullet"/>
      <w:lvlText w:val=""/>
      <w:lvlJc w:val="left"/>
      <w:pPr>
        <w:tabs>
          <w:tab w:val="num" w:pos="4320"/>
        </w:tabs>
        <w:ind w:left="4320" w:hanging="360"/>
      </w:pPr>
      <w:rPr>
        <w:rFonts w:ascii="Wingdings" w:hAnsi="Wingdings"/>
      </w:rPr>
    </w:lvl>
    <w:lvl w:ilvl="6" w:tplc="0E148BFA">
      <w:start w:val="1"/>
      <w:numFmt w:val="bullet"/>
      <w:lvlText w:val=""/>
      <w:lvlJc w:val="left"/>
      <w:pPr>
        <w:tabs>
          <w:tab w:val="num" w:pos="5040"/>
        </w:tabs>
        <w:ind w:left="5040" w:hanging="360"/>
      </w:pPr>
      <w:rPr>
        <w:rFonts w:ascii="Symbol" w:hAnsi="Symbol"/>
      </w:rPr>
    </w:lvl>
    <w:lvl w:ilvl="7" w:tplc="79D0A3B6">
      <w:start w:val="1"/>
      <w:numFmt w:val="bullet"/>
      <w:lvlText w:val="o"/>
      <w:lvlJc w:val="left"/>
      <w:pPr>
        <w:tabs>
          <w:tab w:val="num" w:pos="5760"/>
        </w:tabs>
        <w:ind w:left="5760" w:hanging="360"/>
      </w:pPr>
      <w:rPr>
        <w:rFonts w:ascii="Courier New" w:hAnsi="Courier New"/>
      </w:rPr>
    </w:lvl>
    <w:lvl w:ilvl="8" w:tplc="FC944216">
      <w:start w:val="1"/>
      <w:numFmt w:val="bullet"/>
      <w:lvlText w:val=""/>
      <w:lvlJc w:val="left"/>
      <w:pPr>
        <w:tabs>
          <w:tab w:val="num" w:pos="6480"/>
        </w:tabs>
        <w:ind w:left="6480" w:hanging="360"/>
      </w:pPr>
      <w:rPr>
        <w:rFonts w:ascii="Wingdings" w:hAnsi="Wingdings"/>
      </w:rPr>
    </w:lvl>
  </w:abstractNum>
  <w:abstractNum w:abstractNumId="16">
    <w:nsid w:val="63D526BC"/>
    <w:multiLevelType w:val="hybridMultilevel"/>
    <w:tmpl w:val="63D526BC"/>
    <w:lvl w:ilvl="0" w:tplc="0602FF02">
      <w:start w:val="1"/>
      <w:numFmt w:val="bullet"/>
      <w:lvlText w:val=""/>
      <w:lvlJc w:val="left"/>
      <w:pPr>
        <w:tabs>
          <w:tab w:val="num" w:pos="720"/>
        </w:tabs>
        <w:ind w:left="720" w:hanging="360"/>
      </w:pPr>
      <w:rPr>
        <w:rFonts w:ascii="Symbol" w:hAnsi="Symbol"/>
      </w:rPr>
    </w:lvl>
    <w:lvl w:ilvl="1" w:tplc="9BE64CF2">
      <w:start w:val="1"/>
      <w:numFmt w:val="bullet"/>
      <w:lvlText w:val="o"/>
      <w:lvlJc w:val="left"/>
      <w:pPr>
        <w:tabs>
          <w:tab w:val="num" w:pos="1440"/>
        </w:tabs>
        <w:ind w:left="1440" w:hanging="360"/>
      </w:pPr>
      <w:rPr>
        <w:rFonts w:ascii="Courier New" w:hAnsi="Courier New"/>
      </w:rPr>
    </w:lvl>
    <w:lvl w:ilvl="2" w:tplc="707CC9B0">
      <w:start w:val="1"/>
      <w:numFmt w:val="bullet"/>
      <w:lvlText w:val=""/>
      <w:lvlJc w:val="left"/>
      <w:pPr>
        <w:tabs>
          <w:tab w:val="num" w:pos="2160"/>
        </w:tabs>
        <w:ind w:left="2160" w:hanging="360"/>
      </w:pPr>
      <w:rPr>
        <w:rFonts w:ascii="Wingdings" w:hAnsi="Wingdings"/>
      </w:rPr>
    </w:lvl>
    <w:lvl w:ilvl="3" w:tplc="E38C321C">
      <w:start w:val="1"/>
      <w:numFmt w:val="bullet"/>
      <w:lvlText w:val=""/>
      <w:lvlJc w:val="left"/>
      <w:pPr>
        <w:tabs>
          <w:tab w:val="num" w:pos="2880"/>
        </w:tabs>
        <w:ind w:left="2880" w:hanging="360"/>
      </w:pPr>
      <w:rPr>
        <w:rFonts w:ascii="Symbol" w:hAnsi="Symbol"/>
      </w:rPr>
    </w:lvl>
    <w:lvl w:ilvl="4" w:tplc="B24EE626">
      <w:start w:val="1"/>
      <w:numFmt w:val="bullet"/>
      <w:lvlText w:val="o"/>
      <w:lvlJc w:val="left"/>
      <w:pPr>
        <w:tabs>
          <w:tab w:val="num" w:pos="3600"/>
        </w:tabs>
        <w:ind w:left="3600" w:hanging="360"/>
      </w:pPr>
      <w:rPr>
        <w:rFonts w:ascii="Courier New" w:hAnsi="Courier New"/>
      </w:rPr>
    </w:lvl>
    <w:lvl w:ilvl="5" w:tplc="F0F2FC82">
      <w:start w:val="1"/>
      <w:numFmt w:val="bullet"/>
      <w:lvlText w:val=""/>
      <w:lvlJc w:val="left"/>
      <w:pPr>
        <w:tabs>
          <w:tab w:val="num" w:pos="4320"/>
        </w:tabs>
        <w:ind w:left="4320" w:hanging="360"/>
      </w:pPr>
      <w:rPr>
        <w:rFonts w:ascii="Wingdings" w:hAnsi="Wingdings"/>
      </w:rPr>
    </w:lvl>
    <w:lvl w:ilvl="6" w:tplc="A19A2C88">
      <w:start w:val="1"/>
      <w:numFmt w:val="bullet"/>
      <w:lvlText w:val=""/>
      <w:lvlJc w:val="left"/>
      <w:pPr>
        <w:tabs>
          <w:tab w:val="num" w:pos="5040"/>
        </w:tabs>
        <w:ind w:left="5040" w:hanging="360"/>
      </w:pPr>
      <w:rPr>
        <w:rFonts w:ascii="Symbol" w:hAnsi="Symbol"/>
      </w:rPr>
    </w:lvl>
    <w:lvl w:ilvl="7" w:tplc="B484AA40">
      <w:start w:val="1"/>
      <w:numFmt w:val="bullet"/>
      <w:lvlText w:val="o"/>
      <w:lvlJc w:val="left"/>
      <w:pPr>
        <w:tabs>
          <w:tab w:val="num" w:pos="5760"/>
        </w:tabs>
        <w:ind w:left="5760" w:hanging="360"/>
      </w:pPr>
      <w:rPr>
        <w:rFonts w:ascii="Courier New" w:hAnsi="Courier New"/>
      </w:rPr>
    </w:lvl>
    <w:lvl w:ilvl="8" w:tplc="DEA28ED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7D"/>
    <w:rsid w:val="000C0FF7"/>
    <w:rsid w:val="003A7DC9"/>
    <w:rsid w:val="00494D63"/>
    <w:rsid w:val="0068436F"/>
    <w:rsid w:val="006B2769"/>
    <w:rsid w:val="007A70A3"/>
    <w:rsid w:val="00956E90"/>
    <w:rsid w:val="00C576CE"/>
    <w:rsid w:val="00EA407D"/>
    <w:rsid w:val="00F0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hq.bobstandards.b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709</Words>
  <Characters>4015</Characters>
  <Application>Microsoft Office Word</Application>
  <DocSecurity>0</DocSecurity>
  <Lines>100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2017-10-12T10:10:00Z</cp:lastPrinted>
  <dcterms:created xsi:type="dcterms:W3CDTF">2017-10-12T07:24:00Z</dcterms:created>
  <dcterms:modified xsi:type="dcterms:W3CDTF">2017-10-12T12:19:00Z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G/TBT/N/BWA/66</vt:lpwstr>
  </property>
</Properties>
</file>