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hMerge w:val="restart"/>
          </w:tcPr>
          <w:tcPr>
            <w:tcW w:type="dxa" w:w="10000"/>
          </w:tcPr>
          <w:p>
            <w:r>
              <w:rPr>
                <w:b w:val="true"/>
                <w:position w:val="-100"/>
                <w:sz w:val="40"/>
              </w:rPr>
              <w:t>世界贸易组织</w:t>
            </w:r>
          </w:p>
        </w:tc>
        <w:tc>
          <w:tcPr>
            <w:hMerge w:val="continue"/>
          </w:tcPr>
          <w:p/>
        </w:tc>
        <w:tc>
          <w:p>
            <w:pPr>
              <w:jc w:val="right"/>
            </w:pPr>
            <w:r>
              <w:rPr>
                <w:b w:val="true"/>
                <w:sz w:val="20"/>
              </w:rPr>
              <w:t>G/TBT/N/ARG/333</w:t>
            </w:r>
          </w:p>
          <w:p>
            <w:pPr>
              <w:jc w:val="right"/>
            </w:pPr>
            <w:r>
              <w:rPr>
                <w:sz w:val="14"/>
              </w:rPr>
              <w:t>2018-04-27</w:t>
            </w:r>
          </w:p>
          <w:p>
            <w:pPr>
              <w:jc w:val="right"/>
            </w:pPr>
            <w:r>
              <w:rPr>
                <w:sz w:val="14"/>
              </w:rPr>
              <w:t>182645</w:t>
            </w:r>
          </w:p>
        </w:tc>
      </w:tr>
      <w:tr>
        <w:tc>
          <w:p/>
        </w:tc>
        <w:tc>
          <w:p/>
        </w:tc>
        <w:tc>
          <w:p/>
        </w:tc>
      </w:tr>
      <w:tr>
        <w:tc>
          <w:tcPr>
            <w:hMerge w:val="restart"/>
          </w:tcPr>
          <w:p>
            <w:r>
              <w:rPr>
                <w:sz w:val="16"/>
              </w:rPr>
              <w:t>技术性贸易壁垒</w:t>
            </w:r>
          </w:p>
        </w:tc>
        <w:tc>
          <w:tcPr>
            <w:hMerge w:val="continue"/>
          </w:tcPr>
          <w:p/>
        </w:tc>
        <w:tc>
          <w:p>
            <w:pPr>
              <w:jc w:val="right"/>
            </w:pPr>
            <w:r>
              <w:rPr>
                <w:sz w:val="16"/>
              </w:rPr>
              <w:t>原文：西班牙语</w:t>
            </w:r>
          </w:p>
        </w:tc>
      </w:tr>
      <w:tr>
        <w:tc>
          <w:tcPr>
            <w:vMerge w:val="restart"/>
          </w:tcPr>
          <w:tcPr>
            <w:hMerge w:val="restart"/>
          </w:tcPr>
          <w:p>
            <w:pPr>
              <w:jc w:val="center"/>
            </w:pPr>
            <w:r>
              <w:rPr>
                <w:color w:val="FF0000"/>
                <w:sz w:val="40"/>
              </w:rPr>
              <w:t>通报</w:t>
            </w:r>
          </w:p>
        </w:tc>
        <w:tc>
          <w:tcPr>
            <w:vMerge w:val="restart"/>
          </w:tcPr>
          <w:tcPr>
            <w:hMerge w:val="continue"/>
          </w:tcPr>
          <w:p/>
        </w:tc>
        <w:tc>
          <w:tcPr>
            <w:vMerge w:val="restart"/>
          </w:tcPr>
          <w:tcPr>
            <w:hMerge w:val="continue"/>
          </w:tcPr>
          <w:p/>
        </w:tc>
      </w:tr>
      <w:tr>
        <w:tc>
          <w:tcPr>
            <w:vMerge w:val="continue"/>
          </w:tcPr>
          <w:tcPr>
            <w:hMerge w:val="restart"/>
          </w:tcPr>
          <w:p/>
        </w:tc>
        <w:tc>
          <w:tcPr>
            <w:vMerge w:val="continue"/>
          </w:tcPr>
          <w:tcPr>
            <w:hMerge w:val="continue"/>
          </w:tcPr>
          <w:p/>
        </w:tc>
        <w:tc>
          <w:tcPr>
            <w:vMerge w:val="continue"/>
          </w:tcPr>
          <w:tcPr>
            <w:hMerge w:val="continue"/>
          </w:tcPr>
          <w:p/>
        </w:tc>
      </w:tr>
      <w:tr>
        <w:tc>
          <w:tcPr>
            <w:hMerge w:val="restart"/>
          </w:tcPr>
          <w:p>
            <w:pPr>
              <w:jc w:val="center"/>
            </w:pPr>
            <w:r>
              <w:rPr>
                <w:sz w:val="20"/>
              </w:rPr>
              <w:t>以下通报根据TBT协定第10.6条分发</w:t>
            </w:r>
          </w:p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</w:tr>
      <w:tr>
        <w:tc>
          <w:tcPr>
            <w:tcW w:type="dxa" w:w="1500"/>
            <w:vAlign w:val="center"/>
          </w:tcPr>
          <w:p>
            <w:pPr>
              <w:jc w:val="center"/>
            </w:pPr>
            <w:r>
              <w:rPr>
                <w:b w:val="true"/>
                <w:sz w:val="20"/>
              </w:rPr>
              <w:t>1.</w:t>
            </w:r>
          </w:p>
        </w:tc>
        <w:tc>
          <w:tcPr>
            <w:hMerge w:val="restart"/>
          </w:tcPr>
          <w:p>
            <w:r>
              <w:rPr>
                <w:b w:val="true"/>
                <w:sz w:val="20"/>
              </w:rPr>
              <w:t>通报成员：</w:t>
            </w:r>
            <w:r>
              <w:rPr>
                <w:sz w:val="20"/>
              </w:rPr>
              <w:t>阿根廷</w:t>
            </w:r>
          </w:p>
          <w:p>
            <w:r>
              <w:rPr>
                <w:sz w:val="20"/>
              </w:rPr>
              <w:t>如可能，列出涉及的地方政府名称 ( 3.2条和7.2 条)：</w:t>
            </w:r>
          </w:p>
        </w:tc>
        <w:tc>
          <w:tcPr>
            <w:hMerge w:val="continue"/>
          </w:tcPr>
          <w:p/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b w:val="true"/>
                <w:sz w:val="20"/>
              </w:rPr>
              <w:t>2.</w:t>
            </w:r>
          </w:p>
        </w:tc>
        <w:tc>
          <w:tcPr>
            <w:hMerge w:val="restart"/>
          </w:tcPr>
          <w:p>
            <w:r>
              <w:rPr>
                <w:b w:val="true"/>
                <w:sz w:val="20"/>
              </w:rPr>
              <w:t>负责机构：</w:t>
            </w:r>
            <w:r>
              <w:rPr>
                <w:sz w:val="20"/>
              </w:rPr>
              <w:t>南方共同市场（MERCOSUR）第3工作组：技术法规和合格评定</w:t>
            </w:r>
          </w:p>
        </w:tc>
        <w:tc>
          <w:tcPr>
            <w:hMerge w:val="continue"/>
          </w:tcPr>
          <w:p/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b w:val="true"/>
                <w:sz w:val="20"/>
              </w:rPr>
              <w:t>3.</w:t>
            </w:r>
          </w:p>
        </w:tc>
        <w:tc>
          <w:tcPr>
            <w:hMerge w:val="restart"/>
          </w:tcPr>
          <w:p>
            <w:r>
              <w:rPr>
                <w:b w:val="true"/>
                <w:sz w:val="20"/>
              </w:rPr>
              <w:t>通报依据条款：</w:t>
            </w:r>
          </w:p>
          <w:p>
            <w:r>
              <w:rPr>
                <w:sz w:val="20"/>
              </w:rPr>
              <w:t>[X]2.9.2,[]2.10.1,[]5.6.2,[]5.7.1</w:t>
            </w:r>
          </w:p>
          <w:p>
            <w:r>
              <w:rPr>
                <w:b w:val="true"/>
                <w:sz w:val="20"/>
              </w:rPr>
              <w:t>通报依据的条款其他：</w:t>
            </w:r>
          </w:p>
        </w:tc>
        <w:tc>
          <w:tcPr>
            <w:hMerge w:val="continue"/>
          </w:tcPr>
          <w:p/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b w:val="true"/>
                <w:sz w:val="20"/>
              </w:rPr>
              <w:t>4.</w:t>
            </w:r>
          </w:p>
        </w:tc>
        <w:tc>
          <w:tcPr>
            <w:hMerge w:val="restart"/>
          </w:tcPr>
          <w:p>
            <w:r>
              <w:rPr>
                <w:b w:val="true"/>
                <w:sz w:val="20"/>
              </w:rPr>
              <w:t>覆盖的产品：</w:t>
            </w:r>
            <w:r>
              <w:rPr>
                <w:sz w:val="20"/>
              </w:rPr>
              <w:t>鱼，软体动物和甲壳类动物。</w:t>
            </w:r>
          </w:p>
          <w:p>
            <w:r>
              <w:rPr>
                <w:b w:val="true"/>
                <w:sz w:val="20"/>
              </w:rPr>
              <w:t>HS编码：</w:t>
            </w:r>
            <w:r>
              <w:rPr>
                <w:sz w:val="20"/>
              </w:rPr>
              <w:t>0302,0303,0304　　</w:t>
            </w:r>
            <w:r>
              <w:rPr>
                <w:b w:val="true"/>
                <w:sz w:val="20"/>
              </w:rPr>
              <w:t xml:space="preserve"> ICS编码：</w:t>
            </w:r>
            <w:r>
              <w:rPr>
                <w:sz w:val="20"/>
              </w:rPr>
              <w:t>67.120.30</w:t>
            </w:r>
          </w:p>
        </w:tc>
        <w:tc>
          <w:tcPr>
            <w:hMerge w:val="continue"/>
          </w:tcPr>
          <w:p/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b w:val="true"/>
                <w:sz w:val="20"/>
              </w:rPr>
              <w:t>5.</w:t>
            </w:r>
          </w:p>
        </w:tc>
        <w:tc>
          <w:tcPr>
            <w:hMerge w:val="restart"/>
          </w:tcPr>
          <w:p>
            <w:r>
              <w:rPr>
                <w:b w:val="true"/>
                <w:sz w:val="20"/>
              </w:rPr>
              <w:t>通报标题：</w:t>
            </w:r>
            <w:r>
              <w:rPr>
                <w:sz w:val="20"/>
              </w:rPr>
              <w:t>共同市场工作组决议草案No. 01/18“冰冻鱼类、软体动物和甲壳类动物计量控制方法，以确定其实际含量”</w:t>
            </w:r>
          </w:p>
          <w:p>
            <w:r>
              <w:rPr>
                <w:b w:val="true"/>
                <w:sz w:val="20"/>
              </w:rPr>
              <w:t>语言：</w:t>
            </w:r>
            <w:r>
              <w:rPr>
                <w:sz w:val="20"/>
              </w:rPr>
              <w:t>西班牙语</w:t>
            </w:r>
          </w:p>
          <w:p>
            <w:r>
              <w:rPr>
                <w:b w:val="true"/>
                <w:sz w:val="20"/>
              </w:rPr>
              <w:t>页数：</w:t>
            </w:r>
            <w:r>
              <w:rPr>
                <w:sz w:val="20"/>
              </w:rPr>
              <w:t>4</w:t>
            </w:r>
          </w:p>
          <w:p>
            <w:r>
              <w:rPr>
                <w:b w:val="true"/>
                <w:sz w:val="20"/>
              </w:rPr>
              <w:t>链接网址：</w:t>
            </w:r>
            <w:r>
              <w:rPr>
                <w:sz w:val="20"/>
              </w:rPr>
              <w:t/>
            </w:r>
          </w:p>
        </w:tc>
        <w:tc>
          <w:tcPr>
            <w:hMerge w:val="continue"/>
          </w:tcPr>
          <w:p/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b w:val="true"/>
                <w:sz w:val="20"/>
              </w:rPr>
              <w:t>6.</w:t>
            </w:r>
          </w:p>
        </w:tc>
        <w:tc>
          <w:tcPr>
            <w:hMerge w:val="restart"/>
          </w:tcPr>
          <w:p>
            <w:r>
              <w:rPr>
                <w:b w:val="true"/>
                <w:sz w:val="20"/>
              </w:rPr>
              <w:t>内容简述：</w:t>
            </w:r>
            <w:r>
              <w:rPr>
                <w:sz w:val="20"/>
              </w:rPr>
              <w:t>通报的决议草案提出了一个技术法规，规定了冰冻鱼类、软体动物和甲壳类动物计量控制方法，以确定其实际含量。</w:t>
            </w:r>
          </w:p>
        </w:tc>
        <w:tc>
          <w:tcPr>
            <w:hMerge w:val="continue"/>
          </w:tcPr>
          <w:p/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b w:val="true"/>
                <w:sz w:val="20"/>
              </w:rPr>
              <w:t>7.</w:t>
            </w:r>
          </w:p>
        </w:tc>
        <w:tc>
          <w:tcPr>
            <w:hMerge w:val="restart"/>
          </w:tcPr>
          <w:p>
            <w:r>
              <w:rPr>
                <w:b w:val="true"/>
                <w:sz w:val="20"/>
              </w:rPr>
              <w:t>目标与理由：</w:t>
            </w:r>
            <w:r>
              <w:rPr>
                <w:sz w:val="20"/>
              </w:rPr>
              <w:t>更新南方共同市场（MERCOSUR）法律。</w:t>
            </w:r>
          </w:p>
        </w:tc>
        <w:tc>
          <w:tcPr>
            <w:hMerge w:val="continue"/>
          </w:tcPr>
          <w:p/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b w:val="true"/>
                <w:sz w:val="20"/>
              </w:rPr>
              <w:t>8.</w:t>
            </w:r>
          </w:p>
        </w:tc>
        <w:tc>
          <w:tcPr>
            <w:hMerge w:val="restart"/>
          </w:tcPr>
          <w:p>
            <w:r>
              <w:rPr>
                <w:b w:val="true"/>
                <w:sz w:val="20"/>
              </w:rPr>
              <w:t>相关文件：</w:t>
            </w:r>
            <w:r>
              <w:rPr>
                <w:sz w:val="20"/>
              </w:rPr>
              <w:t>-</w:t>
            </w:r>
          </w:p>
        </w:tc>
        <w:tc>
          <w:tcPr>
            <w:hMerge w:val="continue"/>
          </w:tcPr>
          <w:p/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b w:val="true"/>
                <w:sz w:val="20"/>
              </w:rPr>
              <w:t>9.</w:t>
            </w:r>
          </w:p>
        </w:tc>
        <w:tc>
          <w:tcPr>
            <w:hMerge w:val="restart"/>
          </w:tcPr>
          <w:p>
            <w:r>
              <w:rPr>
                <w:b w:val="true"/>
                <w:sz w:val="20"/>
              </w:rPr>
              <w:t>拟批准日期：</w:t>
            </w:r>
            <w:r>
              <w:rPr>
                <w:sz w:val="20"/>
              </w:rPr>
              <w:t>不适用</w:t>
            </w:r>
          </w:p>
          <w:p>
            <w:r>
              <w:rPr>
                <w:b w:val="true"/>
                <w:sz w:val="20"/>
              </w:rPr>
              <w:t>拟生效日期：</w:t>
            </w:r>
            <w:r>
              <w:rPr>
                <w:sz w:val="20"/>
              </w:rPr>
              <w:t>不适用</w:t>
            </w:r>
          </w:p>
        </w:tc>
        <w:tc>
          <w:tcPr>
            <w:hMerge w:val="continue"/>
          </w:tcPr>
          <w:p/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b w:val="true"/>
                <w:sz w:val="20"/>
              </w:rPr>
              <w:t>10.</w:t>
            </w:r>
          </w:p>
        </w:tc>
        <w:tc>
          <w:tcPr>
            <w:hMerge w:val="restart"/>
          </w:tcPr>
          <w:p>
            <w:r>
              <w:rPr>
                <w:b w:val="true"/>
                <w:sz w:val="20"/>
              </w:rPr>
              <w:t>意见反馈截止日期：</w:t>
            </w:r>
            <w:r>
              <w:rPr>
                <w:sz w:val="20"/>
              </w:rPr>
              <w:t>2018/06/20</w:t>
            </w:r>
          </w:p>
        </w:tc>
        <w:tc>
          <w:tcPr>
            <w:hMerge w:val="continue"/>
          </w:tcPr>
          <w:p/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b w:val="true"/>
                <w:sz w:val="20"/>
              </w:rPr>
              <w:t>11.</w:t>
            </w:r>
          </w:p>
        </w:tc>
        <w:tc>
          <w:tcPr>
            <w:hMerge w:val="restart"/>
          </w:tcPr>
          <w:p>
            <w:r>
              <w:rPr>
                <w:b w:val="true"/>
                <w:sz w:val="20"/>
              </w:rPr>
              <w:t>文本可从以下机构得到：</w:t>
            </w:r>
          </w:p>
          <w:p>
            <w:r>
              <w:rPr>
                <w:sz w:val="20"/>
              </w:rPr>
              <w:t>[]国家通报机构[]国家咨询点，或其他机构的联系地址、传真及电子邮件地址(如能提供):</w:t>
            </w:r>
          </w:p>
        </w:tc>
        <w:tc>
          <w:tcPr>
            <w:hMerge w:val="continue"/>
          </w:tcPr>
          <w:p/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2018-05-10T07:30:41Z</dcterms:created>
  <dc:creator>Apache POI</dc:creator>
</cp:coreProperties>
</file>