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r>
        <w:tc>
          <w:tcPr>
            <w:hMerge w:val="restart"/>
          </w:tcPr>
          <w:tcPr>
            <w:tcW w:type="dxa" w:w="10000"/>
          </w:tcPr>
          <w:p>
            <w:r>
              <w:rPr>
                <w:b w:val="true"/>
                <w:position w:val="-100"/>
                <w:sz w:val="40"/>
              </w:rPr>
              <w:t>世界贸易组织</w:t>
            </w:r>
          </w:p>
        </w:tc>
        <w:tc>
          <w:tcPr>
            <w:hMerge w:val="continue"/>
          </w:tcPr>
          <w:p/>
        </w:tc>
        <w:tc>
          <w:p>
            <w:pPr>
              <w:jc w:val="right"/>
            </w:pPr>
            <w:r>
              <w:rPr>
                <w:b w:val="true"/>
                <w:sz w:val="20"/>
              </w:rPr>
              <w:t>G/TBT/N/ZAF/228</w:t>
            </w:r>
          </w:p>
          <w:p>
            <w:pPr>
              <w:jc w:val="right"/>
            </w:pPr>
            <w:r>
              <w:rPr>
                <w:sz w:val="14"/>
              </w:rPr>
              <w:t>2018-05-09</w:t>
            </w:r>
          </w:p>
          <w:p>
            <w:pPr>
              <w:jc w:val="right"/>
            </w:pPr>
            <w:r>
              <w:rPr>
                <w:sz w:val="14"/>
              </w:rPr>
              <w:t>18-2835</w:t>
            </w:r>
          </w:p>
        </w:tc>
      </w:tr>
      <w:tr>
        <w:tc>
          <w:p/>
        </w:tc>
        <w:tc>
          <w:p/>
        </w:tc>
        <w:tc>
          <w:p/>
        </w:tc>
      </w:tr>
      <w:tr>
        <w:tc>
          <w:tcPr>
            <w:hMerge w:val="restart"/>
          </w:tcPr>
          <w:p>
            <w:r>
              <w:rPr>
                <w:sz w:val="16"/>
              </w:rPr>
              <w:t>技术性贸易壁垒</w:t>
            </w:r>
          </w:p>
        </w:tc>
        <w:tc>
          <w:tcPr>
            <w:hMerge w:val="continue"/>
          </w:tcPr>
          <w:p/>
        </w:tc>
        <w:tc>
          <w:p>
            <w:pPr>
              <w:jc w:val="right"/>
            </w:pPr>
            <w:r>
              <w:rPr>
                <w:sz w:val="16"/>
              </w:rPr>
              <w:t>原文：英语</w:t>
            </w:r>
          </w:p>
        </w:tc>
      </w:tr>
      <w:tr>
        <w:tc>
          <w:tcPr>
            <w:vMerge w:val="restart"/>
          </w:tcPr>
          <w:tcPr>
            <w:hMerge w:val="restart"/>
          </w:tcPr>
          <w:p>
            <w:pPr>
              <w:jc w:val="center"/>
            </w:pPr>
            <w:r>
              <w:rPr>
                <w:color w:val="FF0000"/>
                <w:sz w:val="40"/>
              </w:rPr>
              <w:t>通报</w:t>
            </w:r>
          </w:p>
        </w:tc>
        <w:tc>
          <w:tcPr>
            <w:vMerge w:val="restart"/>
          </w:tcPr>
          <w:tcPr>
            <w:hMerge w:val="continue"/>
          </w:tcPr>
          <w:p/>
        </w:tc>
        <w:tc>
          <w:tcPr>
            <w:vMerge w:val="restart"/>
          </w:tcPr>
          <w:tcPr>
            <w:hMerge w:val="continue"/>
          </w:tcPr>
          <w:p/>
        </w:tc>
      </w:tr>
      <w:tr>
        <w:tc>
          <w:tcPr>
            <w:vMerge w:val="continue"/>
          </w:tcPr>
          <w:tcPr>
            <w:hMerge w:val="restart"/>
          </w:tcPr>
          <w:p/>
        </w:tc>
        <w:tc>
          <w:tcPr>
            <w:vMerge w:val="continue"/>
          </w:tcPr>
          <w:tcPr>
            <w:hMerge w:val="continue"/>
          </w:tcPr>
          <w:p/>
        </w:tc>
        <w:tc>
          <w:tcPr>
            <w:vMerge w:val="continue"/>
          </w:tcPr>
          <w:tcPr>
            <w:hMerge w:val="continue"/>
          </w:tcPr>
          <w:p/>
        </w:tc>
      </w:tr>
      <w:tr>
        <w:tc>
          <w:tcPr>
            <w:hMerge w:val="restart"/>
          </w:tcPr>
          <w:p>
            <w:pPr>
              <w:jc w:val="center"/>
            </w:pPr>
            <w:r>
              <w:rPr>
                <w:sz w:val="20"/>
              </w:rPr>
              <w:t>以下通报根据TBT协定第10.6条分发</w:t>
            </w:r>
          </w:p>
        </w:tc>
        <w:tc>
          <w:tcPr>
            <w:hMerge w:val="continue"/>
          </w:tcPr>
          <w:p/>
        </w:tc>
        <w:tc>
          <w:tcPr>
            <w:hMerge w:val="continue"/>
          </w:tcPr>
          <w:p/>
        </w:tc>
      </w:tr>
      <w:tr>
        <w:tc>
          <w:tcPr>
            <w:tcW w:type="dxa" w:w="1500"/>
            <w:vAlign w:val="center"/>
          </w:tcPr>
          <w:p>
            <w:pPr>
              <w:jc w:val="center"/>
            </w:pPr>
            <w:r>
              <w:rPr>
                <w:b w:val="true"/>
                <w:sz w:val="20"/>
              </w:rPr>
              <w:t>1.</w:t>
            </w:r>
          </w:p>
        </w:tc>
        <w:tc>
          <w:tcPr>
            <w:hMerge w:val="restart"/>
          </w:tcPr>
          <w:p>
            <w:r>
              <w:rPr>
                <w:b w:val="true"/>
                <w:sz w:val="20"/>
              </w:rPr>
              <w:t>通报成员：</w:t>
            </w:r>
            <w:r>
              <w:rPr>
                <w:sz w:val="20"/>
              </w:rPr>
              <w:t>南非</w:t>
            </w:r>
          </w:p>
          <w:p>
            <w:r>
              <w:rPr>
                <w:sz w:val="20"/>
              </w:rPr>
              <w:t>如可能，列出涉及的地方政府名称 ( 3.2条和7.2 条)：</w:t>
            </w:r>
          </w:p>
        </w:tc>
        <w:tc>
          <w:tcPr>
            <w:hMerge w:val="continue"/>
          </w:tcPr>
          <w:p/>
        </w:tc>
      </w:tr>
      <w:tr>
        <w:tc>
          <w:tcPr>
            <w:vAlign w:val="center"/>
          </w:tcPr>
          <w:p>
            <w:pPr>
              <w:jc w:val="center"/>
            </w:pPr>
            <w:r>
              <w:rPr>
                <w:b w:val="true"/>
                <w:sz w:val="20"/>
              </w:rPr>
              <w:t>2.</w:t>
            </w:r>
          </w:p>
        </w:tc>
        <w:tc>
          <w:tcPr>
            <w:hMerge w:val="restart"/>
          </w:tcPr>
          <w:p>
            <w:r>
              <w:rPr>
                <w:b w:val="true"/>
                <w:sz w:val="20"/>
              </w:rPr>
              <w:t>负责机构：</w:t>
            </w:r>
            <w:r>
              <w:rPr>
                <w:sz w:val="20"/>
              </w:rPr>
              <w:t>卫生部</w:t>
            </w:r>
          </w:p>
        </w:tc>
        <w:tc>
          <w:tcPr>
            <w:hMerge w:val="continue"/>
          </w:tcPr>
          <w:p/>
        </w:tc>
      </w:tr>
      <w:tr>
        <w:tc>
          <w:tcPr>
            <w:vAlign w:val="center"/>
          </w:tcPr>
          <w:p>
            <w:pPr>
              <w:jc w:val="center"/>
            </w:pPr>
            <w:r>
              <w:rPr>
                <w:b w:val="true"/>
                <w:sz w:val="20"/>
              </w:rPr>
              <w:t>3.</w:t>
            </w:r>
          </w:p>
        </w:tc>
        <w:tc>
          <w:tcPr>
            <w:hMerge w:val="restart"/>
          </w:tcPr>
          <w:p>
            <w:r>
              <w:rPr>
                <w:b w:val="true"/>
                <w:sz w:val="20"/>
              </w:rPr>
              <w:t>通报依据条款：</w:t>
            </w:r>
          </w:p>
          <w:p>
            <w:r>
              <w:rPr>
                <w:sz w:val="20"/>
              </w:rPr>
              <w:t>[X]2.9.2,[]2.10.1,[]5.6.2,[]5.7.1</w:t>
            </w:r>
          </w:p>
          <w:p>
            <w:r>
              <w:rPr>
                <w:b w:val="true"/>
                <w:sz w:val="20"/>
              </w:rPr>
              <w:t>通报依据的条款其他：</w:t>
            </w:r>
          </w:p>
        </w:tc>
        <w:tc>
          <w:tcPr>
            <w:hMerge w:val="continue"/>
          </w:tcPr>
          <w:p/>
        </w:tc>
      </w:tr>
      <w:tr>
        <w:tc>
          <w:tcPr>
            <w:vAlign w:val="center"/>
          </w:tcPr>
          <w:p>
            <w:pPr>
              <w:jc w:val="center"/>
            </w:pPr>
            <w:r>
              <w:rPr>
                <w:b w:val="true"/>
                <w:sz w:val="20"/>
              </w:rPr>
              <w:t>4.</w:t>
            </w:r>
          </w:p>
        </w:tc>
        <w:tc>
          <w:tcPr>
            <w:hMerge w:val="restart"/>
          </w:tcPr>
          <w:p>
            <w:r>
              <w:rPr>
                <w:b w:val="true"/>
                <w:sz w:val="20"/>
              </w:rPr>
              <w:t>覆盖的产品：</w:t>
            </w:r>
            <w:r>
              <w:rPr>
                <w:sz w:val="20"/>
              </w:rPr>
              <w:t>酒精饮料（ICS：67.160.10）。 其它发酵饮料（如苹果酒，梨酒，蜂蜜酒）;发酵饮料和非酒精饮料混合物，其它未列名品目（HS：2206），酒精浓度不足的乙醇（HS：2207），酒精度小于80％的未变性乙醇; 烈性酒、利口酒和其它烈性酒饮料（HS：2208）。</w:t>
            </w:r>
          </w:p>
          <w:p>
            <w:r>
              <w:rPr>
                <w:b w:val="true"/>
                <w:sz w:val="20"/>
              </w:rPr>
              <w:t>HS编码：</w:t>
            </w:r>
            <w:r>
              <w:rPr>
                <w:sz w:val="20"/>
              </w:rPr>
              <w:t>2206,2207,2208　　</w:t>
            </w:r>
            <w:r>
              <w:rPr>
                <w:b w:val="true"/>
                <w:sz w:val="20"/>
              </w:rPr>
              <w:t xml:space="preserve"> ICS编码：</w:t>
            </w:r>
            <w:r>
              <w:rPr>
                <w:sz w:val="20"/>
              </w:rPr>
              <w:t>67.160.10</w:t>
            </w:r>
          </w:p>
        </w:tc>
        <w:tc>
          <w:tcPr>
            <w:hMerge w:val="continue"/>
          </w:tcPr>
          <w:p/>
        </w:tc>
      </w:tr>
      <w:tr>
        <w:tc>
          <w:tcPr>
            <w:vAlign w:val="center"/>
          </w:tcPr>
          <w:p>
            <w:pPr>
              <w:jc w:val="center"/>
            </w:pPr>
            <w:r>
              <w:rPr>
                <w:b w:val="true"/>
                <w:sz w:val="20"/>
              </w:rPr>
              <w:t>5.</w:t>
            </w:r>
          </w:p>
        </w:tc>
        <w:tc>
          <w:tcPr>
            <w:hMerge w:val="restart"/>
          </w:tcPr>
          <w:p>
            <w:r>
              <w:rPr>
                <w:b w:val="true"/>
                <w:sz w:val="20"/>
              </w:rPr>
              <w:t>通报标题：</w:t>
            </w:r>
            <w:r>
              <w:rPr>
                <w:sz w:val="20"/>
              </w:rPr>
              <w:t>酒精饮料容器标签健康信息法规</w:t>
            </w:r>
          </w:p>
          <w:p>
            <w:r>
              <w:rPr>
                <w:b w:val="true"/>
                <w:sz w:val="20"/>
              </w:rPr>
              <w:t>语言：</w:t>
            </w:r>
            <w:r>
              <w:rPr>
                <w:sz w:val="20"/>
              </w:rPr>
              <w:t>英语</w:t>
            </w:r>
          </w:p>
          <w:p>
            <w:r>
              <w:rPr>
                <w:b w:val="true"/>
                <w:sz w:val="20"/>
              </w:rPr>
              <w:t>页数：</w:t>
            </w:r>
            <w:r>
              <w:rPr>
                <w:sz w:val="20"/>
              </w:rPr>
              <w:t>3</w:t>
            </w:r>
          </w:p>
          <w:p>
            <w:r>
              <w:rPr>
                <w:b w:val="true"/>
                <w:sz w:val="20"/>
              </w:rPr>
              <w:t>链接网址：</w:t>
            </w:r>
            <w:r>
              <w:rPr>
                <w:sz w:val="20"/>
              </w:rPr>
              <w:t/>
            </w:r>
          </w:p>
        </w:tc>
        <w:tc>
          <w:tcPr>
            <w:hMerge w:val="continue"/>
          </w:tcPr>
          <w:p/>
        </w:tc>
      </w:tr>
      <w:tr>
        <w:tc>
          <w:tcPr>
            <w:vAlign w:val="center"/>
          </w:tcPr>
          <w:p>
            <w:pPr>
              <w:jc w:val="center"/>
            </w:pPr>
            <w:r>
              <w:rPr>
                <w:b w:val="true"/>
                <w:sz w:val="20"/>
              </w:rPr>
              <w:t>6.</w:t>
            </w:r>
          </w:p>
        </w:tc>
        <w:tc>
          <w:tcPr>
            <w:hMerge w:val="restart"/>
          </w:tcPr>
          <w:p>
            <w:r>
              <w:rPr>
                <w:b w:val="true"/>
                <w:sz w:val="20"/>
              </w:rPr>
              <w:t>内容简述：</w:t>
            </w:r>
            <w:r>
              <w:rPr>
                <w:sz w:val="20"/>
              </w:rPr>
              <w:t>规定了酒精饮料健康警告标签。旨在告知个人和社区酗酒造成的危害。</w:t>
            </w:r>
          </w:p>
        </w:tc>
        <w:tc>
          <w:tcPr>
            <w:hMerge w:val="continue"/>
          </w:tcPr>
          <w:p/>
        </w:tc>
      </w:tr>
      <w:tr>
        <w:tc>
          <w:tcPr>
            <w:vAlign w:val="center"/>
          </w:tcPr>
          <w:p>
            <w:pPr>
              <w:jc w:val="center"/>
            </w:pPr>
            <w:r>
              <w:rPr>
                <w:b w:val="true"/>
                <w:sz w:val="20"/>
              </w:rPr>
              <w:t>7.</w:t>
            </w:r>
          </w:p>
        </w:tc>
        <w:tc>
          <w:tcPr>
            <w:hMerge w:val="restart"/>
          </w:tcPr>
          <w:p>
            <w:r>
              <w:rPr>
                <w:b w:val="true"/>
                <w:sz w:val="20"/>
              </w:rPr>
              <w:t>目标与理由：</w:t>
            </w:r>
            <w:r>
              <w:rPr>
                <w:sz w:val="20"/>
              </w:rPr>
              <w:t>消费者信息、标签。</w:t>
            </w:r>
          </w:p>
        </w:tc>
        <w:tc>
          <w:tcPr>
            <w:hMerge w:val="continue"/>
          </w:tcPr>
          <w:p/>
        </w:tc>
      </w:tr>
      <w:tr>
        <w:tc>
          <w:tcPr>
            <w:vAlign w:val="center"/>
          </w:tcPr>
          <w:p>
            <w:pPr>
              <w:jc w:val="center"/>
            </w:pPr>
            <w:r>
              <w:rPr>
                <w:b w:val="true"/>
                <w:sz w:val="20"/>
              </w:rPr>
              <w:t>8.</w:t>
            </w:r>
          </w:p>
        </w:tc>
        <w:tc>
          <w:tcPr>
            <w:hMerge w:val="restart"/>
          </w:tcPr>
          <w:p>
            <w:r>
              <w:rPr>
                <w:b w:val="true"/>
                <w:sz w:val="20"/>
              </w:rPr>
              <w:t>相关文件：</w:t>
            </w:r>
            <w:r>
              <w:rPr>
                <w:sz w:val="20"/>
              </w:rPr>
              <w:t>政府公报No.41350。</w:t>
            </w:r>
          </w:p>
        </w:tc>
        <w:tc>
          <w:tcPr>
            <w:hMerge w:val="continue"/>
          </w:tcPr>
          <w:p/>
        </w:tc>
      </w:tr>
      <w:tr>
        <w:tc>
          <w:tcPr>
            <w:vAlign w:val="center"/>
          </w:tcPr>
          <w:p>
            <w:pPr>
              <w:jc w:val="center"/>
            </w:pPr>
            <w:r>
              <w:rPr>
                <w:b w:val="true"/>
                <w:sz w:val="20"/>
              </w:rPr>
              <w:t>9.</w:t>
            </w:r>
          </w:p>
        </w:tc>
        <w:tc>
          <w:tcPr>
            <w:hMerge w:val="restart"/>
          </w:tcPr>
          <w:p>
            <w:r>
              <w:rPr>
                <w:b w:val="true"/>
                <w:sz w:val="20"/>
              </w:rPr>
              <w:t>拟批准日期：</w:t>
            </w:r>
            <w:r>
              <w:rPr>
                <w:sz w:val="20"/>
              </w:rPr>
              <w:t>所有意见被考虑之后</w:t>
            </w:r>
          </w:p>
          <w:p>
            <w:r>
              <w:rPr>
                <w:b w:val="true"/>
                <w:sz w:val="20"/>
              </w:rPr>
              <w:t>拟生效日期：</w:t>
            </w:r>
            <w:r>
              <w:rPr>
                <w:sz w:val="20"/>
              </w:rPr>
              <w:t>所有意见被考虑之后</w:t>
            </w:r>
          </w:p>
        </w:tc>
        <w:tc>
          <w:tcPr>
            <w:hMerge w:val="continue"/>
          </w:tcPr>
          <w:p/>
        </w:tc>
      </w:tr>
      <w:tr>
        <w:tc>
          <w:tcPr>
            <w:vAlign w:val="center"/>
          </w:tcPr>
          <w:p>
            <w:pPr>
              <w:jc w:val="center"/>
            </w:pPr>
            <w:r>
              <w:rPr>
                <w:b w:val="true"/>
                <w:sz w:val="20"/>
              </w:rPr>
              <w:t>10.</w:t>
            </w:r>
          </w:p>
        </w:tc>
        <w:tc>
          <w:tcPr>
            <w:hMerge w:val="restart"/>
          </w:tcPr>
          <w:p>
            <w:r>
              <w:rPr>
                <w:b w:val="true"/>
                <w:sz w:val="20"/>
              </w:rPr>
              <w:t>意见反馈截止日期：</w:t>
            </w:r>
            <w:r>
              <w:rPr>
                <w:sz w:val="20"/>
              </w:rPr>
              <w:t>通报之后60天</w:t>
            </w:r>
          </w:p>
        </w:tc>
        <w:tc>
          <w:tcPr>
            <w:hMerge w:val="continue"/>
          </w:tcPr>
          <w:p/>
        </w:tc>
      </w:tr>
      <w:tr>
        <w:tc>
          <w:tcPr>
            <w:vAlign w:val="center"/>
          </w:tcPr>
          <w:p>
            <w:pPr>
              <w:jc w:val="center"/>
            </w:pPr>
            <w:r>
              <w:rPr>
                <w:b w:val="true"/>
                <w:sz w:val="20"/>
              </w:rPr>
              <w:t>11.</w:t>
            </w:r>
          </w:p>
        </w:tc>
        <w:tc>
          <w:tcPr>
            <w:hMerge w:val="restart"/>
          </w:tcPr>
          <w:p>
            <w:r>
              <w:rPr>
                <w:b w:val="true"/>
                <w:sz w:val="20"/>
              </w:rPr>
              <w:t>文本可从以下机构得到：</w:t>
            </w:r>
          </w:p>
          <w:p>
            <w:r>
              <w:rPr>
                <w:sz w:val="20"/>
              </w:rPr>
              <w:t>[]国家通报机构[]国家咨询点，或其他机构的联系地址、传真及电子邮件地址(如能提供):</w:t>
            </w:r>
          </w:p>
        </w:tc>
        <w:tc>
          <w:tcPr>
            <w:hMerge w:val="continue"/>
          </w:tcPr>
          <w:p/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2018-05-18T02:46:21Z</dcterms:created>
  <dc:creator>Apache POI</dc:creator>
</cp:coreProperties>
</file>