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hMerge w:val="restart"/>
          </w:tcPr>
          <w:tcPr>
            <w:tcW w:type="dxa" w:w="10000"/>
          </w:tcPr>
          <w:p>
            <w:r>
              <w:rPr>
                <w:b w:val="true"/>
                <w:position w:val="-100"/>
                <w:sz w:val="40"/>
              </w:rPr>
              <w:t>世界贸易组织</w:t>
            </w:r>
          </w:p>
        </w:tc>
        <w:tc>
          <w:tcPr>
            <w:hMerge w:val="continue"/>
          </w:tcPr>
          <w:p/>
        </w:tc>
        <w:tc>
          <w:p>
            <w:pPr>
              <w:jc w:val="right"/>
            </w:pPr>
            <w:r>
              <w:rPr>
                <w:b w:val="true"/>
                <w:sz w:val="20"/>
              </w:rPr>
              <w:t>G/TBT/N/BRA/559/Add.6</w:t>
            </w:r>
          </w:p>
          <w:p>
            <w:pPr>
              <w:jc w:val="right"/>
            </w:pPr>
            <w:r>
              <w:rPr>
                <w:sz w:val="14"/>
              </w:rPr>
              <w:t>2018-05-09</w:t>
            </w:r>
          </w:p>
          <w:p>
            <w:pPr>
              <w:jc w:val="right"/>
            </w:pPr>
            <w:r>
              <w:rPr>
                <w:sz w:val="14"/>
              </w:rPr>
              <w:t>18-2822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tcPr>
            <w:hMerge w:val="restart"/>
          </w:tcPr>
          <w:p>
            <w:r>
              <w:rPr>
                <w:sz w:val="16"/>
              </w:rPr>
              <w:t>技术性贸易壁垒</w:t>
            </w:r>
          </w:p>
        </w:tc>
        <w:tc>
          <w:tcPr>
            <w:hMerge w:val="continue"/>
          </w:tcPr>
          <w:p/>
        </w:tc>
        <w:tc>
          <w:p>
            <w:pPr>
              <w:jc w:val="right"/>
            </w:pPr>
            <w:r>
              <w:rPr>
                <w:sz w:val="16"/>
              </w:rPr>
              <w:t>原文：英语</w:t>
            </w:r>
          </w:p>
        </w:tc>
      </w:tr>
      <w:tr>
        <w:tc>
          <w:tcPr>
            <w:vMerge w:val="restart"/>
          </w:tcPr>
          <w:tcPr>
            <w:hMerge w:val="restart"/>
          </w:tcPr>
          <w:p>
            <w:pPr>
              <w:jc w:val="center"/>
            </w:pPr>
            <w:r>
              <w:rPr>
                <w:color w:val="FF0000"/>
                <w:sz w:val="40"/>
              </w:rPr>
              <w:t>通报</w:t>
            </w:r>
          </w:p>
        </w:tc>
        <w:tc>
          <w:tcPr>
            <w:vMerge w:val="restart"/>
          </w:tcPr>
          <w:tcPr>
            <w:hMerge w:val="continue"/>
          </w:tcPr>
          <w:p/>
        </w:tc>
        <w:tc>
          <w:tcPr>
            <w:vMerge w:val="restart"/>
          </w:tcPr>
          <w:tcPr>
            <w:hMerge w:val="continue"/>
          </w:tcPr>
          <w:p/>
        </w:tc>
      </w:tr>
      <w:tr>
        <w:tc>
          <w:tcPr>
            <w:vMerge w:val="continue"/>
          </w:tcPr>
          <w:tcPr>
            <w:hMerge w:val="restart"/>
          </w:tcPr>
          <w:p/>
        </w:tc>
        <w:tc>
          <w:tcPr>
            <w:vMerge w:val="continue"/>
          </w:tcPr>
          <w:tcPr>
            <w:hMerge w:val="continue"/>
          </w:tcPr>
          <w:p/>
        </w:tc>
        <w:tc>
          <w:tcPr>
            <w:vMerge w:val="continue"/>
          </w:tcPr>
          <w:tcPr>
            <w:hMerge w:val="continue"/>
          </w:tcPr>
          <w:p/>
        </w:tc>
      </w:tr>
      <w:tr>
        <w:tc>
          <w:tcPr>
            <w:hMerge w:val="restart"/>
          </w:tcPr>
          <w:p>
            <w:pPr>
              <w:jc w:val="center"/>
            </w:pPr>
            <w:r>
              <w:rPr>
                <w:sz w:val="20"/>
              </w:rPr>
              <w:t>补遗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tcW w:type="dxa" w:w="1500"/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1.</w:t>
            </w:r>
          </w:p>
        </w:tc>
        <w:tc>
          <w:tcPr>
            <w:hMerge w:val="restart"/>
          </w:tcPr>
          <w:p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>
                            以下
									   2018 年
									  05 月
									  09 日							  
                          的信息根据
	              巴西
							     代表团的要求分发。
	 本补遗旨在通知国家计量质量和技术协会（INMETRO）2018年4月30日颁布了法令Nº 215，暂停执行法令No. 123/2014第4条，由于不执行文件G/TBT/N/BRA/559/Add.5通报的草案，致使与随后2018年3月24日制定的侵权公告不一致。
	葡萄牙语全文可从以下地址下载：
http://www.inmetro.gov.br/legislacao/rtac/pdf/RTAC002508.pdf
						</w:t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  <w:r>
              <w:rPr>
                <w:sz w:val="20"/>
              </w:rPr>
              <w:t/>
            </w:r>
          </w:p>
        </w:tc>
        <w:tc>
          <w:tcPr>
            <w:hMerge w:val="continue"/>
          </w:tcPr>
          <w:p/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2018-05-18T02:46:22Z</dcterms:created>
  <dc:creator>Apache POI</dc:creator>
</cp:coreProperties>
</file>