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9" w:rsidRPr="003A3E55" w:rsidRDefault="00E22255" w:rsidP="009962D2">
      <w:pPr>
        <w:pStyle w:val="Titre"/>
        <w:spacing w:before="240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E22255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374063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42459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3A3E55">
            <w:pPr>
              <w:spacing w:before="120" w:after="120"/>
            </w:pPr>
            <w:r w:rsidRPr="003A3E55">
              <w:rPr>
                <w:b/>
              </w:rPr>
              <w:t xml:space="preserve">Miembro que notifica: </w:t>
            </w:r>
            <w:bookmarkStart w:id="0" w:name="sps1a"/>
            <w:r w:rsidRPr="00E764A5">
              <w:rPr>
                <w:bCs/>
                <w:caps/>
                <w:u w:val="single"/>
              </w:rPr>
              <w:t>Argentina</w:t>
            </w:r>
            <w:bookmarkEnd w:id="0"/>
          </w:p>
          <w:p w:rsidR="00A52F73" w:rsidRPr="003A3E55" w:rsidRDefault="00E22255" w:rsidP="003A3E55">
            <w:pPr>
              <w:spacing w:after="120"/>
            </w:pPr>
            <w:r w:rsidRPr="003A3E55">
              <w:rPr>
                <w:b/>
              </w:rPr>
              <w:t>Si procede, nombre del gobierno local de que se trate (artículos 3.2 y 7.2):</w:t>
            </w:r>
            <w:r w:rsidRPr="003A3E55">
              <w:t xml:space="preserve"> </w:t>
            </w:r>
            <w:bookmarkStart w:id="1" w:name="sps1b"/>
            <w:bookmarkEnd w:id="1"/>
          </w:p>
        </w:tc>
      </w:tr>
      <w:tr w:rsidR="00242459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E22255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/>
              </w:rPr>
              <w:t>Organismo responsable:</w:t>
            </w:r>
            <w:r w:rsidRPr="003A3E55">
              <w:t xml:space="preserve"> </w:t>
            </w:r>
            <w:r>
              <w:t>Subsecretaria de ahorro y eficiencia energética</w:t>
            </w:r>
            <w:bookmarkStart w:id="2" w:name="sps2a"/>
            <w:bookmarkEnd w:id="2"/>
          </w:p>
          <w:p w:rsidR="002E4A00" w:rsidRPr="003A3E55" w:rsidRDefault="00E22255" w:rsidP="00E22255">
            <w:pPr>
              <w:spacing w:after="120"/>
            </w:pPr>
            <w:r w:rsidRPr="003A3E5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A3E55">
              <w:t xml:space="preserve"> </w:t>
            </w:r>
          </w:p>
          <w:p w:rsidR="00A52F73" w:rsidRPr="003A3E55" w:rsidRDefault="00E22255" w:rsidP="003A3E55">
            <w:pPr>
              <w:spacing w:after="120"/>
              <w:jc w:val="left"/>
            </w:pPr>
            <w:r>
              <w:t>Servicio de Información (Apartado 11.)</w:t>
            </w:r>
            <w:bookmarkStart w:id="3" w:name="sps4a"/>
            <w:bookmarkEnd w:id="3"/>
          </w:p>
        </w:tc>
      </w:tr>
      <w:tr w:rsidR="00242459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3A3E55">
            <w:pPr>
              <w:spacing w:before="120" w:after="120"/>
            </w:pPr>
            <w:r w:rsidRPr="003A3E55">
              <w:rPr>
                <w:b/>
              </w:rPr>
              <w:t>Notificación hecha</w:t>
            </w:r>
            <w:bookmarkStart w:id="4" w:name="tbt3a"/>
            <w:r>
              <w:rPr>
                <w:b/>
              </w:rPr>
              <w:t xml:space="preserve"> en virtud del artículo 2.9.2 [</w:t>
            </w:r>
            <w:r w:rsidRPr="003A3E55">
              <w:rPr>
                <w:b/>
              </w:rPr>
              <w:t>X</w:t>
            </w:r>
            <w:bookmarkEnd w:id="4"/>
            <w:r w:rsidRPr="003A3E55">
              <w:rPr>
                <w:b/>
              </w:rPr>
              <w:t>], 2.10.1 [ </w:t>
            </w:r>
            <w:bookmarkStart w:id="5" w:name="tbt3b"/>
            <w:bookmarkEnd w:id="5"/>
            <w:r w:rsidRPr="003A3E55">
              <w:rPr>
                <w:b/>
              </w:rPr>
              <w:t> ], 5.6.2 [ </w:t>
            </w:r>
            <w:bookmarkStart w:id="6" w:name="tbt3c"/>
            <w:bookmarkEnd w:id="6"/>
            <w:r w:rsidRPr="003A3E55">
              <w:rPr>
                <w:b/>
              </w:rPr>
              <w:t> ], 5.7.1 [ </w:t>
            </w:r>
            <w:bookmarkStart w:id="7" w:name="tbt3d"/>
            <w:bookmarkEnd w:id="7"/>
            <w:r w:rsidRPr="003A3E55">
              <w:rPr>
                <w:b/>
              </w:rPr>
              <w:t> ], o en virtud de:</w:t>
            </w:r>
            <w:bookmarkStart w:id="8" w:name="tbt3e"/>
            <w:bookmarkEnd w:id="8"/>
          </w:p>
        </w:tc>
      </w:tr>
      <w:tr w:rsidR="00242459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42459" w:rsidRDefault="00E22255" w:rsidP="00E22255">
            <w:pPr>
              <w:spacing w:before="120" w:after="120"/>
            </w:pPr>
            <w:r w:rsidRPr="003A3E55">
              <w:rPr>
                <w:b/>
              </w:rPr>
              <w:t>Productos abarcados (partida del SA o de la NCCA cuando corresponda; en otro caso partida del arancel nacional. Podrá indicarse además, cuando proceda, el número de partida de la ICS):</w:t>
            </w:r>
            <w:r w:rsidRPr="003A3E55">
              <w:t xml:space="preserve"> </w:t>
            </w:r>
            <w:r>
              <w:t>Lámparas de iluminación general; Lámparas y tubos eléctricos de incandescencia o de descarga, incluidos los faros o unidades «sellados» y las lámparas y tubos de rayos ultravioletas o infrarrojos; lámparas de arco. (HS 8539).</w:t>
            </w:r>
            <w:bookmarkStart w:id="9" w:name="sps3a"/>
            <w:bookmarkEnd w:id="9"/>
          </w:p>
        </w:tc>
      </w:tr>
      <w:tr w:rsidR="00242459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3A3E55">
            <w:pPr>
              <w:spacing w:before="120" w:after="120"/>
            </w:pPr>
            <w:r w:rsidRPr="003A3E55">
              <w:rPr>
                <w:b/>
              </w:rPr>
              <w:t>Título, número de páginas e idioma(s) del documento notificado:</w:t>
            </w:r>
            <w:r w:rsidRPr="003A3E55">
              <w:t xml:space="preserve"> </w:t>
            </w:r>
            <w:r>
              <w:t>"Etiquetado de Eficiencia Energética para lámparas de iluminación general: halógenas y fluorescentes" (4 página(s), en Español)</w:t>
            </w:r>
            <w:bookmarkStart w:id="10" w:name="sps5a"/>
            <w:bookmarkEnd w:id="10"/>
            <w:r w:rsidRPr="003A3E55">
              <w:t xml:space="preserve"> </w:t>
            </w:r>
            <w:bookmarkStart w:id="11" w:name="sps5c"/>
            <w:bookmarkEnd w:id="11"/>
            <w:r w:rsidRPr="003A3E55">
              <w:t xml:space="preserve"> </w:t>
            </w:r>
            <w:bookmarkStart w:id="12" w:name="sps5b"/>
            <w:bookmarkEnd w:id="12"/>
          </w:p>
        </w:tc>
      </w:tr>
      <w:tr w:rsidR="00242459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3A3E55">
            <w:pPr>
              <w:spacing w:before="120" w:after="120"/>
            </w:pPr>
            <w:r w:rsidRPr="003A3E55">
              <w:rPr>
                <w:b/>
              </w:rPr>
              <w:t>Descripción del contenido:</w:t>
            </w:r>
            <w:r w:rsidRPr="003A3E55">
              <w:t xml:space="preserve"> </w:t>
            </w:r>
            <w:r>
              <w:rPr>
                <w:lang w:eastAsia="es-ES"/>
              </w:rPr>
              <w:t xml:space="preserve">Se establece </w:t>
            </w:r>
            <w:r>
              <w:t>como nivel máximo de consumo específico de energía, o mínimo de eficiencia energética, a partir del 1° de julio de 2019, el correspondiente a la clase A de eficiencia energética establecido en la norma IRAM 62404 Partes 1:2014 y 2:2015 para las lámparas halógenas con filamento de tungsteno para iluminación general y las lámparas fluorescentes para iluminación general con balasto incorporado, con casquillo simple y con casquillo doble alcanzadas por la Disposición ex DNCI Nº 86/2007 (G/TBT/Notif.99.498/Add.3)</w:t>
            </w:r>
            <w:r>
              <w:rPr>
                <w:lang w:eastAsia="es-ES"/>
              </w:rPr>
              <w:t>.</w:t>
            </w:r>
            <w:bookmarkStart w:id="13" w:name="sps6a"/>
            <w:bookmarkEnd w:id="13"/>
          </w:p>
        </w:tc>
      </w:tr>
      <w:tr w:rsidR="00242459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E22255">
            <w:pPr>
              <w:spacing w:before="120" w:after="120"/>
            </w:pPr>
            <w:r w:rsidRPr="003A3E55">
              <w:rPr>
                <w:b/>
              </w:rPr>
              <w:t>Objetivo y razón de ser, incluida, cuando proceda, la naturaleza de los problemas urgentes:</w:t>
            </w:r>
            <w:r w:rsidRPr="003A3E55">
              <w:t xml:space="preserve"> </w:t>
            </w:r>
            <w:r>
              <w:t>Información al consumidor, Etiquetado; Prevención de prácticas que puedan inducir a error y protección del consumidor; Protección del medio ambiente</w:t>
            </w:r>
            <w:bookmarkStart w:id="14" w:name="sps7f"/>
            <w:bookmarkEnd w:id="14"/>
          </w:p>
        </w:tc>
      </w:tr>
      <w:tr w:rsidR="00242459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E22255" w:rsidP="00E22255">
            <w:pPr>
              <w:spacing w:before="120" w:after="120"/>
            </w:pPr>
            <w:r w:rsidRPr="003A3E55">
              <w:rPr>
                <w:b/>
              </w:rPr>
              <w:t>Documentos pertinentes:</w:t>
            </w:r>
            <w:r w:rsidRPr="003A3E55">
              <w:t xml:space="preserve"> </w:t>
            </w:r>
          </w:p>
          <w:p w:rsidR="00A52F73" w:rsidRPr="003A3E55" w:rsidRDefault="00E22255" w:rsidP="00E22255">
            <w:pPr>
              <w:spacing w:after="120"/>
            </w:pPr>
            <w:r>
              <w:rPr>
                <w:lang w:eastAsia="es-ES"/>
              </w:rPr>
              <w:t>Textos actualizados y consolidados de referencia</w:t>
            </w:r>
          </w:p>
          <w:p w:rsidR="00242459" w:rsidRDefault="00E22255" w:rsidP="00E22255">
            <w:pPr>
              <w:keepNext/>
              <w:numPr>
                <w:ilvl w:val="0"/>
                <w:numId w:val="16"/>
              </w:numPr>
              <w:spacing w:after="120"/>
              <w:jc w:val="left"/>
            </w:pPr>
            <w:r>
              <w:rPr>
                <w:lang w:eastAsia="es-ES"/>
              </w:rPr>
              <w:t xml:space="preserve">Disposición ex DNCI Nº 86/2007 (G/TBT/Notif.99.498/Add.3) </w:t>
            </w:r>
            <w:hyperlink r:id="rId8" w:history="1">
              <w:r>
                <w:rPr>
                  <w:color w:val="0000FF"/>
                  <w:u w:val="single"/>
                  <w:lang w:eastAsia="es-ES"/>
                </w:rPr>
                <w:t>http://servicios.infoleg.gob.ar/infolegInternet/anexos/125000-129999/126402/texact.htm</w:t>
              </w:r>
            </w:hyperlink>
            <w:r>
              <w:rPr>
                <w:lang w:eastAsia="es-ES"/>
              </w:rPr>
              <w:t xml:space="preserve"> </w:t>
            </w:r>
          </w:p>
          <w:p w:rsidR="00242459" w:rsidRDefault="00E22255" w:rsidP="00E22255">
            <w:pPr>
              <w:keepNext/>
              <w:numPr>
                <w:ilvl w:val="0"/>
                <w:numId w:val="16"/>
              </w:numPr>
              <w:spacing w:after="120"/>
              <w:jc w:val="left"/>
            </w:pPr>
            <w:r>
              <w:rPr>
                <w:lang w:eastAsia="es-ES"/>
              </w:rPr>
              <w:t xml:space="preserve">Resolución ex SCT N° 35/2005 </w:t>
            </w:r>
            <w:r>
              <w:t>(</w:t>
            </w:r>
            <w:r>
              <w:rPr>
                <w:lang w:eastAsia="es-ES"/>
              </w:rPr>
              <w:t xml:space="preserve">G/TBT/Notif.99.498/Add.1) </w:t>
            </w:r>
            <w:hyperlink r:id="rId9" w:history="1">
              <w:r>
                <w:rPr>
                  <w:color w:val="0000FF"/>
                  <w:u w:val="single"/>
                  <w:lang w:eastAsia="es-ES"/>
                </w:rPr>
                <w:t>http://servicios.infoleg.gob.ar/infolegInternet/anexos/100000-104999/104772/texact.htm</w:t>
              </w:r>
            </w:hyperlink>
            <w:r>
              <w:rPr>
                <w:lang w:eastAsia="es-ES"/>
              </w:rPr>
              <w:t xml:space="preserve"> </w:t>
            </w:r>
          </w:p>
          <w:p w:rsidR="00242459" w:rsidRDefault="00E22255" w:rsidP="00E22255">
            <w:pPr>
              <w:numPr>
                <w:ilvl w:val="0"/>
                <w:numId w:val="16"/>
              </w:numPr>
              <w:spacing w:after="120"/>
              <w:jc w:val="left"/>
            </w:pPr>
            <w:r>
              <w:lastRenderedPageBreak/>
              <w:t>Resolución ex SICM Nº 319/1999 (</w:t>
            </w:r>
            <w:r>
              <w:rPr>
                <w:lang w:eastAsia="es-ES"/>
              </w:rPr>
              <w:t>G/TBT/Notif.99.498)</w:t>
            </w:r>
            <w:r>
              <w:t xml:space="preserve"> </w:t>
            </w:r>
            <w:hyperlink r:id="rId10" w:history="1">
              <w:r>
                <w:rPr>
                  <w:color w:val="0000FF"/>
                  <w:u w:val="single"/>
                </w:rPr>
                <w:t>http://servicios.infoleg.gob.ar/infolegInternet/anexos/55000-59999/57667/texact.htm</w:t>
              </w:r>
            </w:hyperlink>
          </w:p>
        </w:tc>
      </w:tr>
      <w:tr w:rsidR="00242459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E2225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E22255" w:rsidP="00E22255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 xml:space="preserve">Fecha propuesta de adopción: </w:t>
            </w:r>
            <w:bookmarkStart w:id="15" w:name="sps10a"/>
            <w:bookmarkStart w:id="16" w:name="sps10b"/>
            <w:bookmarkEnd w:id="15"/>
            <w:r w:rsidRPr="003A3E55">
              <w:rPr>
                <w:bCs/>
              </w:rPr>
              <w:t>No aplica</w:t>
            </w:r>
            <w:bookmarkEnd w:id="16"/>
          </w:p>
          <w:p w:rsidR="00AF251E" w:rsidRPr="003A3E55" w:rsidRDefault="00E22255" w:rsidP="00E22255">
            <w:pPr>
              <w:spacing w:after="120"/>
              <w:rPr>
                <w:b/>
              </w:rPr>
            </w:pPr>
            <w:r w:rsidRPr="003A3E55">
              <w:rPr>
                <w:b/>
              </w:rPr>
              <w:t xml:space="preserve">Fecha propuesta de entrada en vigor: </w:t>
            </w:r>
            <w:bookmarkStart w:id="17" w:name="sps11a"/>
            <w:bookmarkStart w:id="18" w:name="sps11b"/>
            <w:bookmarkEnd w:id="17"/>
            <w:r w:rsidRPr="003A3E55">
              <w:rPr>
                <w:bCs/>
              </w:rPr>
              <w:t>No aplica</w:t>
            </w:r>
            <w:bookmarkEnd w:id="18"/>
          </w:p>
        </w:tc>
      </w:tr>
      <w:tr w:rsidR="00242459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E22255" w:rsidP="003A3E55">
            <w:pPr>
              <w:spacing w:before="120" w:after="120"/>
            </w:pPr>
            <w:r w:rsidRPr="003A3E55">
              <w:rPr>
                <w:b/>
              </w:rPr>
              <w:t>Fecha límite para la presentación de observaciones:</w:t>
            </w:r>
            <w:r w:rsidRPr="003A3E55">
              <w:t xml:space="preserve"> </w:t>
            </w:r>
            <w:r>
              <w:t>No aplica</w:t>
            </w:r>
            <w:bookmarkStart w:id="19" w:name="sps12a"/>
            <w:bookmarkEnd w:id="19"/>
          </w:p>
        </w:tc>
      </w:tr>
      <w:tr w:rsidR="00242459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E22255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696361" w:rsidRPr="003A3E55" w:rsidRDefault="00E22255" w:rsidP="0090284E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Textos disponibles en: Servicio nacional de información [</w:t>
            </w:r>
            <w:bookmarkStart w:id="20" w:name="sps13b"/>
            <w:r w:rsidRPr="003A3E55">
              <w:rPr>
                <w:b/>
              </w:rPr>
              <w:t>X</w:t>
            </w:r>
            <w:bookmarkEnd w:id="20"/>
            <w:r w:rsidRPr="003A3E55">
              <w:rPr>
                <w:b/>
              </w:rPr>
              <w:t>], o dirección, números de teléfono y de fax y direcciones de correo electrónico y sitios Web, en su caso, de otra institución:</w:t>
            </w:r>
            <w:r w:rsidRPr="003A3E55">
              <w:t xml:space="preserve"> </w:t>
            </w:r>
          </w:p>
          <w:p w:rsidR="00A52F73" w:rsidRPr="003A3E55" w:rsidRDefault="00E22255" w:rsidP="0090284E">
            <w:pPr>
              <w:keepNext/>
              <w:keepLines/>
              <w:spacing w:after="120"/>
              <w:jc w:val="left"/>
            </w:pPr>
            <w:r>
              <w:t>Punto Focal de la Republica Argentina</w:t>
            </w:r>
            <w:r>
              <w:br/>
              <w:t>Dirección de Políticas de Comercio Interior y Competencia</w:t>
            </w:r>
            <w:r>
              <w:br/>
              <w:t>Avda. Julio A. Roca 651 Piso 4° Sector 23A (C1067ABB)</w:t>
            </w:r>
            <w:r>
              <w:br/>
              <w:t>Ciudad Autónoma de Buenos Aires</w:t>
            </w:r>
            <w:r>
              <w:br/>
              <w:t>Teléfono: 54 11 4349 4067</w:t>
            </w:r>
            <w:r>
              <w:br/>
              <w:t xml:space="preserve">E-mail: </w:t>
            </w:r>
            <w:hyperlink r:id="rId11" w:history="1">
              <w:r>
                <w:rPr>
                  <w:color w:val="0000FF"/>
                  <w:u w:val="single"/>
                </w:rPr>
                <w:t>focalotc@mecon.gob.ar</w:t>
              </w:r>
            </w:hyperlink>
            <w:r>
              <w:t xml:space="preserve"> </w:t>
            </w:r>
            <w:r>
              <w:br/>
              <w:t xml:space="preserve">Sitio Web: </w:t>
            </w:r>
            <w:hyperlink r:id="rId12" w:tgtFrame="_blank" w:history="1">
              <w:r>
                <w:rPr>
                  <w:color w:val="0000FF"/>
                  <w:u w:val="single"/>
                </w:rPr>
                <w:t>http://www.puntofocal.gob.ar/</w:t>
              </w:r>
            </w:hyperlink>
            <w:r>
              <w:t xml:space="preserve"> </w:t>
            </w:r>
            <w:r>
              <w:br/>
            </w:r>
            <w:hyperlink r:id="rId13" w:tgtFrame="_blank" w:history="1">
              <w:r>
                <w:rPr>
                  <w:color w:val="0000FF"/>
                  <w:u w:val="single"/>
                </w:rPr>
                <w:t>http://www.puntofocal.gov.ar/formularios/notific_arg.php</w:t>
              </w:r>
            </w:hyperlink>
          </w:p>
          <w:p w:rsidR="00242459" w:rsidRDefault="00374063">
            <w:pPr>
              <w:spacing w:after="120"/>
              <w:jc w:val="left"/>
            </w:pPr>
            <w:hyperlink r:id="rId14" w:tgtFrame="_blank" w:history="1">
              <w:r w:rsidR="00E22255">
                <w:rPr>
                  <w:color w:val="0000FF"/>
                  <w:u w:val="single"/>
                </w:rPr>
                <w:t>https://members.wto.org/crnattachments/2018/TBT/ARG/18_4467_00_s.pdf</w:t>
              </w:r>
            </w:hyperlink>
            <w:bookmarkStart w:id="21" w:name="sps13c"/>
            <w:bookmarkEnd w:id="21"/>
          </w:p>
        </w:tc>
      </w:tr>
    </w:tbl>
    <w:p w:rsidR="00AF251E" w:rsidRPr="003A3E55" w:rsidRDefault="00374063" w:rsidP="003A3E55"/>
    <w:sectPr w:rsidR="00AF251E" w:rsidRPr="003A3E55" w:rsidSect="00E222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E1" w:rsidRDefault="00E22255">
      <w:r>
        <w:separator/>
      </w:r>
    </w:p>
  </w:endnote>
  <w:endnote w:type="continuationSeparator" w:id="0">
    <w:p w:rsidR="000C54E1" w:rsidRDefault="00E2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D9" w:rsidRPr="00E22255" w:rsidRDefault="00E22255" w:rsidP="00E2225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22255" w:rsidRDefault="00E22255" w:rsidP="00E2225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A3E55" w:rsidRDefault="00E22255">
    <w:r w:rsidRPr="003A3E5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E1" w:rsidRDefault="00E22255">
      <w:r>
        <w:separator/>
      </w:r>
    </w:p>
  </w:footnote>
  <w:footnote w:type="continuationSeparator" w:id="0">
    <w:p w:rsidR="000C54E1" w:rsidRDefault="00E2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55" w:rsidRPr="00E22255" w:rsidRDefault="00E22255" w:rsidP="00E222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255">
      <w:t>G/TBT/N/ARG/341</w:t>
    </w:r>
  </w:p>
  <w:p w:rsidR="00E22255" w:rsidRPr="00E22255" w:rsidRDefault="00E22255" w:rsidP="00E222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22255" w:rsidRPr="00E22255" w:rsidRDefault="00E22255" w:rsidP="00E222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255">
      <w:t xml:space="preserve">- </w:t>
    </w:r>
    <w:r w:rsidRPr="00E22255">
      <w:fldChar w:fldCharType="begin"/>
    </w:r>
    <w:r w:rsidRPr="00E22255">
      <w:instrText xml:space="preserve"> PAGE </w:instrText>
    </w:r>
    <w:r w:rsidRPr="00E22255">
      <w:fldChar w:fldCharType="separate"/>
    </w:r>
    <w:r w:rsidR="00374063">
      <w:rPr>
        <w:noProof/>
      </w:rPr>
      <w:t>2</w:t>
    </w:r>
    <w:r w:rsidRPr="00E22255">
      <w:fldChar w:fldCharType="end"/>
    </w:r>
    <w:r w:rsidRPr="00E22255">
      <w:t xml:space="preserve"> -</w:t>
    </w:r>
  </w:p>
  <w:p w:rsidR="00B531D9" w:rsidRPr="00E22255" w:rsidRDefault="00374063" w:rsidP="00E2225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55" w:rsidRPr="00E22255" w:rsidRDefault="00E22255" w:rsidP="00E222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255">
      <w:t>G/TBT/N/ARG/341</w:t>
    </w:r>
  </w:p>
  <w:p w:rsidR="00E22255" w:rsidRPr="00E22255" w:rsidRDefault="00E22255" w:rsidP="00E222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22255" w:rsidRPr="00E22255" w:rsidRDefault="00E22255" w:rsidP="00E222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255">
      <w:t xml:space="preserve">- </w:t>
    </w:r>
    <w:r w:rsidRPr="00E22255">
      <w:fldChar w:fldCharType="begin"/>
    </w:r>
    <w:r w:rsidRPr="00E22255">
      <w:instrText xml:space="preserve"> PAGE </w:instrText>
    </w:r>
    <w:r w:rsidRPr="00E22255">
      <w:fldChar w:fldCharType="separate"/>
    </w:r>
    <w:r w:rsidRPr="00E22255">
      <w:rPr>
        <w:noProof/>
      </w:rPr>
      <w:t>2</w:t>
    </w:r>
    <w:r w:rsidRPr="00E22255">
      <w:fldChar w:fldCharType="end"/>
    </w:r>
    <w:r w:rsidRPr="00E22255">
      <w:t xml:space="preserve"> -</w:t>
    </w:r>
  </w:p>
  <w:p w:rsidR="00DD65B2" w:rsidRPr="00E22255" w:rsidRDefault="00374063" w:rsidP="00E2225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42459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374063">
          <w:pPr>
            <w:rPr>
              <w:noProof/>
              <w:szCs w:val="18"/>
              <w:lang w:eastAsia="en-GB"/>
            </w:rPr>
          </w:pPr>
          <w:bookmarkStart w:id="2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E22255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2"/>
    <w:tr w:rsidR="00242459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7D7267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63161C5D" wp14:editId="624B092E">
                <wp:extent cx="2398395" cy="717550"/>
                <wp:effectExtent l="0" t="0" r="1905" b="635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374063">
          <w:pPr>
            <w:jc w:val="right"/>
            <w:rPr>
              <w:b/>
              <w:szCs w:val="18"/>
            </w:rPr>
          </w:pPr>
        </w:p>
      </w:tc>
    </w:tr>
    <w:tr w:rsidR="00242459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37406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22255" w:rsidRDefault="00E22255" w:rsidP="005D4F0E">
          <w:pPr>
            <w:jc w:val="right"/>
            <w:rPr>
              <w:b/>
              <w:szCs w:val="18"/>
            </w:rPr>
          </w:pPr>
          <w:bookmarkStart w:id="23" w:name="bmkSymbols"/>
          <w:r>
            <w:rPr>
              <w:b/>
              <w:szCs w:val="18"/>
            </w:rPr>
            <w:t>G/TBT/N/ARG/341</w:t>
          </w:r>
        </w:p>
        <w:bookmarkEnd w:id="23"/>
        <w:p w:rsidR="005D4F0E" w:rsidRPr="00674766" w:rsidRDefault="00374063" w:rsidP="005D4F0E">
          <w:pPr>
            <w:jc w:val="right"/>
            <w:rPr>
              <w:b/>
              <w:szCs w:val="18"/>
            </w:rPr>
          </w:pPr>
        </w:p>
      </w:tc>
    </w:tr>
    <w:tr w:rsidR="00242459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37406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374063" w:rsidP="005D4F0E">
          <w:pPr>
            <w:jc w:val="right"/>
            <w:rPr>
              <w:szCs w:val="18"/>
            </w:rPr>
          </w:pPr>
          <w:bookmarkStart w:id="24" w:name="spsDateDistribution"/>
          <w:bookmarkStart w:id="25" w:name="bmkDate"/>
          <w:bookmarkEnd w:id="24"/>
          <w:bookmarkEnd w:id="25"/>
          <w:r>
            <w:rPr>
              <w:szCs w:val="18"/>
            </w:rPr>
            <w:t xml:space="preserve">16 de agosto de </w:t>
          </w:r>
          <w:r>
            <w:rPr>
              <w:szCs w:val="18"/>
            </w:rPr>
            <w:t>2018</w:t>
          </w:r>
          <w:bookmarkStart w:id="26" w:name="_GoBack"/>
          <w:bookmarkEnd w:id="26"/>
        </w:p>
      </w:tc>
    </w:tr>
    <w:tr w:rsidR="00242459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E22255">
          <w:pPr>
            <w:jc w:val="left"/>
            <w:rPr>
              <w:b/>
              <w:szCs w:val="18"/>
            </w:rPr>
          </w:pPr>
          <w:bookmarkStart w:id="27" w:name="bmkSerial"/>
          <w:r w:rsidRPr="003A3E55">
            <w:rPr>
              <w:color w:val="FF0000"/>
              <w:szCs w:val="18"/>
            </w:rPr>
            <w:t>(</w:t>
          </w:r>
          <w:bookmarkStart w:id="28" w:name="spsSerialNumber"/>
          <w:bookmarkEnd w:id="28"/>
          <w:r w:rsidR="00374063">
            <w:rPr>
              <w:color w:val="FF0000"/>
              <w:szCs w:val="18"/>
            </w:rPr>
            <w:t>18-5219</w:t>
          </w:r>
          <w:r w:rsidRPr="003A3E55">
            <w:rPr>
              <w:color w:val="FF0000"/>
              <w:szCs w:val="18"/>
            </w:rPr>
            <w:t>)</w:t>
          </w:r>
          <w:bookmarkEnd w:id="2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E22255" w:rsidP="005D4F0E">
          <w:pPr>
            <w:jc w:val="right"/>
            <w:rPr>
              <w:szCs w:val="18"/>
            </w:rPr>
          </w:pPr>
          <w:bookmarkStart w:id="2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374063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374063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29"/>
        </w:p>
      </w:tc>
    </w:tr>
    <w:tr w:rsidR="00242459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E22255">
          <w:pPr>
            <w:jc w:val="left"/>
            <w:rPr>
              <w:szCs w:val="18"/>
            </w:rPr>
          </w:pPr>
          <w:bookmarkStart w:id="30" w:name="bmkCommittee"/>
          <w:r>
            <w:rPr>
              <w:b/>
              <w:szCs w:val="18"/>
            </w:rPr>
            <w:t>Comité de Obstáculos Técnicos al Comercio</w:t>
          </w:r>
          <w:bookmarkEnd w:id="3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E22255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español</w:t>
          </w:r>
          <w:bookmarkEnd w:id="31"/>
        </w:p>
      </w:tc>
    </w:tr>
  </w:tbl>
  <w:p w:rsidR="00DD65B2" w:rsidRPr="003A3E55" w:rsidRDefault="003740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3010CC"/>
    <w:numStyleLink w:val="LegalHeadings"/>
  </w:abstractNum>
  <w:abstractNum w:abstractNumId="12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83672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7C9D1C" w:tentative="1">
      <w:start w:val="1"/>
      <w:numFmt w:val="lowerLetter"/>
      <w:lvlText w:val="%2."/>
      <w:lvlJc w:val="left"/>
      <w:pPr>
        <w:ind w:left="1080" w:hanging="360"/>
      </w:pPr>
    </w:lvl>
    <w:lvl w:ilvl="2" w:tplc="AF5AAEAC" w:tentative="1">
      <w:start w:val="1"/>
      <w:numFmt w:val="lowerRoman"/>
      <w:lvlText w:val="%3."/>
      <w:lvlJc w:val="right"/>
      <w:pPr>
        <w:ind w:left="1800" w:hanging="180"/>
      </w:pPr>
    </w:lvl>
    <w:lvl w:ilvl="3" w:tplc="6BBA1686" w:tentative="1">
      <w:start w:val="1"/>
      <w:numFmt w:val="decimal"/>
      <w:lvlText w:val="%4."/>
      <w:lvlJc w:val="left"/>
      <w:pPr>
        <w:ind w:left="2520" w:hanging="360"/>
      </w:pPr>
    </w:lvl>
    <w:lvl w:ilvl="4" w:tplc="8F7AB736" w:tentative="1">
      <w:start w:val="1"/>
      <w:numFmt w:val="lowerLetter"/>
      <w:lvlText w:val="%5."/>
      <w:lvlJc w:val="left"/>
      <w:pPr>
        <w:ind w:left="3240" w:hanging="360"/>
      </w:pPr>
    </w:lvl>
    <w:lvl w:ilvl="5" w:tplc="297A8966" w:tentative="1">
      <w:start w:val="1"/>
      <w:numFmt w:val="lowerRoman"/>
      <w:lvlText w:val="%6."/>
      <w:lvlJc w:val="right"/>
      <w:pPr>
        <w:ind w:left="3960" w:hanging="180"/>
      </w:pPr>
    </w:lvl>
    <w:lvl w:ilvl="6" w:tplc="8206B8B0" w:tentative="1">
      <w:start w:val="1"/>
      <w:numFmt w:val="decimal"/>
      <w:lvlText w:val="%7."/>
      <w:lvlJc w:val="left"/>
      <w:pPr>
        <w:ind w:left="4680" w:hanging="360"/>
      </w:pPr>
    </w:lvl>
    <w:lvl w:ilvl="7" w:tplc="E0827332" w:tentative="1">
      <w:start w:val="1"/>
      <w:numFmt w:val="lowerLetter"/>
      <w:lvlText w:val="%8."/>
      <w:lvlJc w:val="left"/>
      <w:pPr>
        <w:ind w:left="5400" w:hanging="360"/>
      </w:pPr>
    </w:lvl>
    <w:lvl w:ilvl="8" w:tplc="D1C8A1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hybridMultilevel"/>
    <w:tmpl w:val="63D526BB"/>
    <w:lvl w:ilvl="0" w:tplc="FAF65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4107C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228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BC0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7817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0E99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0A7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421E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4C8B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59"/>
    <w:rsid w:val="000C54E1"/>
    <w:rsid w:val="00242459"/>
    <w:rsid w:val="00374063"/>
    <w:rsid w:val="007D7267"/>
    <w:rsid w:val="009962D2"/>
    <w:rsid w:val="00E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125000-129999/126402/texact.htm" TargetMode="External"/><Relationship Id="rId13" Type="http://schemas.openxmlformats.org/officeDocument/2006/relationships/hyperlink" Target="http://www.puntofocal.gov.ar/formularios/notific_arg.php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untofocal.gob.a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calotc@mecon.gob.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ervicios.infoleg.gob.ar/infolegInternet/anexos/55000-59999/57667/texact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ervicios.infoleg.gob.ar/infolegInternet/anexos/100000-104999/104772/texact.htm" TargetMode="External"/><Relationship Id="rId14" Type="http://schemas.openxmlformats.org/officeDocument/2006/relationships/hyperlink" Target="https://members.wto.org/crnattachments/2018/TBT/ARG/18_4467_00_s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5</cp:revision>
  <dcterms:created xsi:type="dcterms:W3CDTF">2018-08-16T09:40:00Z</dcterms:created>
  <dcterms:modified xsi:type="dcterms:W3CDTF">2018-08-16T12:48:00Z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G/TBT/N/ARG/341</vt:lpwstr>
  </property>
</Properties>
</file>