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DD" w:rsidRPr="009D0EBF" w:rsidRDefault="00E8275C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:rsidR="00D90ADD" w:rsidRPr="009D0EBF" w:rsidRDefault="00E8275C" w:rsidP="009D0EBF">
      <w:pPr>
        <w:pStyle w:val="Title3"/>
      </w:pPr>
      <w:r w:rsidRPr="009D0EBF">
        <w:t>Revision</w:t>
      </w:r>
    </w:p>
    <w:p w:rsidR="00D90ADD" w:rsidRPr="009D0EBF" w:rsidRDefault="00E8275C" w:rsidP="009D0EBF">
      <w:pPr>
        <w:jc w:val="center"/>
      </w:pPr>
      <w:bookmarkStart w:id="0" w:name="_GoBack"/>
      <w:r w:rsidRPr="009D0EBF">
        <w:t>The following notification is being circulated in accordance with Article 10.6.</w:t>
      </w:r>
    </w:p>
    <w:bookmarkEnd w:id="0"/>
    <w:p w:rsidR="00D90ADD" w:rsidRPr="009D0EBF" w:rsidRDefault="00C1750E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82691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</w:pPr>
            <w:r w:rsidRPr="009D0EBF">
              <w:rPr>
                <w:b/>
              </w:rPr>
              <w:t xml:space="preserve">Notifying Member: </w:t>
            </w:r>
            <w:bookmarkStart w:id="1" w:name="sps1a"/>
            <w:r w:rsidRPr="008D6315">
              <w:rPr>
                <w:caps/>
                <w:u w:val="single"/>
              </w:rPr>
              <w:t>Uganda</w:t>
            </w:r>
            <w:bookmarkEnd w:id="1"/>
          </w:p>
          <w:p w:rsidR="004C341F" w:rsidRPr="009D0EBF" w:rsidRDefault="00E8275C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Pr="009D0EBF">
              <w:t xml:space="preserve"> </w:t>
            </w:r>
            <w:bookmarkStart w:id="2" w:name="sps1b"/>
            <w:bookmarkEnd w:id="2"/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  <w:r>
              <w:t>Uganda National Bureau of Standards</w:t>
            </w:r>
            <w:bookmarkStart w:id="3" w:name="sps2a"/>
            <w:bookmarkEnd w:id="3"/>
          </w:p>
          <w:p w:rsidR="004C341F" w:rsidRPr="009D0EBF" w:rsidRDefault="00E8275C" w:rsidP="009D0EBF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Pr="009D0EBF">
              <w:t xml:space="preserve"> </w:t>
            </w:r>
            <w:bookmarkStart w:id="4" w:name="sps4a"/>
            <w:bookmarkEnd w:id="4"/>
            <w:r w:rsidRPr="009D0EBF">
              <w:t xml:space="preserve"> </w:t>
            </w:r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</w:t>
            </w:r>
            <w:bookmarkStart w:id="5" w:name="tbt3a"/>
            <w:r>
              <w:rPr>
                <w:b/>
              </w:rPr>
              <w:t>icle 2.9.2 [</w:t>
            </w:r>
            <w:r w:rsidRPr="009D0EBF">
              <w:rPr>
                <w:b/>
              </w:rPr>
              <w:t>X</w:t>
            </w:r>
            <w:bookmarkEnd w:id="5"/>
            <w:r w:rsidRPr="009D0EBF">
              <w:rPr>
                <w:b/>
              </w:rPr>
              <w:t>], 2.10.1 [ </w:t>
            </w:r>
            <w:bookmarkStart w:id="6" w:name="tbt3b"/>
            <w:bookmarkEnd w:id="6"/>
            <w:r w:rsidRPr="009D0EBF">
              <w:rPr>
                <w:b/>
              </w:rPr>
              <w:t> ], 5.6.2 [ </w:t>
            </w:r>
            <w:bookmarkStart w:id="7" w:name="tbt3c"/>
            <w:bookmarkEnd w:id="7"/>
            <w:r w:rsidRPr="009D0EBF">
              <w:rPr>
                <w:b/>
              </w:rPr>
              <w:t> ], 5.7.1 [ </w:t>
            </w:r>
            <w:bookmarkStart w:id="8" w:name="tbt3d"/>
            <w:bookmarkEnd w:id="8"/>
            <w:r w:rsidRPr="009D0EBF">
              <w:rPr>
                <w:b/>
              </w:rPr>
              <w:t> ], other:</w:t>
            </w:r>
            <w:bookmarkStart w:id="9" w:name="tbt3e"/>
            <w:bookmarkEnd w:id="9"/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2691" w:rsidRDefault="00E8275C" w:rsidP="00E8275C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 ICS numbers may be provided in addition, where applicable):</w:t>
            </w:r>
            <w:r w:rsidRPr="009D0EBF">
              <w:t xml:space="preserve"> </w:t>
            </w:r>
            <w:r>
              <w:t>Engine Oil; Lubricating preparations (including cutting-oil preparations, bolt or nut release preparations, anti-rust or anti-corrosion preparations and mould release preparations, based on lubricants) and preparations of a kind used for the oil or grease treatment of textile materials, leather, furskins or other materials, but excluding preparations containing, as basic constituents, 70% or more by weight of petroleum oils or of oils obtained from bituminous minerals. (HS 3403). Lubricants, industrial oils and related products (ICS 75.100).</w:t>
            </w:r>
            <w:bookmarkStart w:id="10" w:name="sps3a"/>
            <w:bookmarkEnd w:id="10"/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</w:pPr>
            <w:r w:rsidRPr="009D0EBF">
              <w:rPr>
                <w:b/>
              </w:rPr>
              <w:t xml:space="preserve">Title, number of pages and language(s) of the notified document: </w:t>
            </w:r>
            <w:r>
              <w:t>DUS 249-3:2018 Engine Oils - Performance Classification - Part 3: API Specification for light and heavy duty Compression- ignition (diesel) engines, Second edition. (24 page(s), in English)</w:t>
            </w:r>
            <w:bookmarkStart w:id="11" w:name="sps5a"/>
            <w:bookmarkEnd w:id="11"/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2691" w:rsidRDefault="00E8275C" w:rsidP="00E8275C">
            <w:pPr>
              <w:spacing w:before="120" w:after="120"/>
            </w:pPr>
            <w:r w:rsidRPr="009D0EBF">
              <w:rPr>
                <w:b/>
              </w:rPr>
              <w:t xml:space="preserve">Description of content: </w:t>
            </w:r>
            <w:r>
              <w:rPr>
                <w:lang w:eastAsia="en-GB"/>
              </w:rPr>
              <w:t>This Draft Uganda standard specifies requirements and test methods for light and heavy duty naturally aspirated, turbo-charged or super-charged compression-ignition engines, meeting or exceeding API Service Category CH-4. It does not cover engine oil for spark ignition engines, aviation equipment, outboard motors, lawn mowers, railroad, locomotives, industrial and marine application.</w:t>
            </w:r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Pr="009D0EBF">
              <w:t xml:space="preserve"> </w:t>
            </w:r>
            <w:r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Start w:id="12" w:name="sps7f"/>
            <w:bookmarkEnd w:id="12"/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E8275C">
            <w:pPr>
              <w:spacing w:before="120" w:after="120"/>
            </w:pPr>
            <w:r w:rsidRPr="009D0EBF">
              <w:rPr>
                <w:b/>
              </w:rPr>
              <w:t xml:space="preserve">Relevant documents: 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2040, Standard test method for flash and fire points by Cleveland open cup tester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2053 Standard Test Method for Determination of Homogeneity and Miscibility in Automotive Engine Oils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lastRenderedPageBreak/>
              <w:t>US 1730:2017, Standard test method for pour point of petroleum products.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US ISO 3104:1994, Standard test method for kinematic viscosity of transparent and opaque liquids (the calculation of dynamic viscosity).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2067 Standard Test Method for Sulfated Ash from Lubricating Oils and Additives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2067 Standard Test Method for Measuring Apparent Viscosity at High-Temperature and High-Shear Rate by Multicell Capillary Viscometer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2068 Standard Test Method for Evaluation of Corrosiveness of Diesel Engine Oil at 135°C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2041, Standard test method for foaming characteristics of lubricating oils.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2042, Standard practice for calculating viscosity index from kinematic viscosity at 40 and 100 °C.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2073, Standard Test Method for Boiling Range Distribution of Petroleum Fractions by Gas Chromatography1, 2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US 1732:2017, Standard practice for manual sampling of petroleum and petroleum products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US 1733:2017, Standard practice for automatic sampling of petroleum and petroleum products.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2068 Standard Specification for Fuel System Icing Inhibitors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2071, Standard test method for measuring viscosity at high shear rate and high temperature by tapered bearing simulator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2074, Standard test method for determination of yield stress and apparent viscosity of engine oils at low temperature coupled plasma atomic emission spectrometry.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2045, Standard Test Method for Determination of Additive Elements in Lubricating Oils by Inductively Coupled Plasma Atomic Emission Spectrometry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2072 Standard Test Method for Determining Automotive Engine Oil Compatibility with Typical Seal Elastomers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2046, Standard test method for evaporation loss of lubricating oils by the Noack method.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2075. Standard Test Method for Shear Stability of Polymer Containing Fluids Using a European Diesel Injector Apparatus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2074 Standard Test Method for Determination of Yield Stress and Apparent Viscosity of Used Engine Oils at Low Temperature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2069, Standard Test Method for Shear Stability of Polymer Containing Fluids Using a European Diesel Injector Apparatus at 30 and 90 Cycle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2070, Standard Test Method for Evaluation of Diesel Engine Oils in the T-11 Exhaust Gas Recirculation Diesel Engine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249-4, Engine Oil- Performance Classification- Part 4: Specification for internal combustion engine oils used in four -stroke- cycle motorcycle gasoline engines and associated drive trains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DUS 249-1:2018, Engine Oil- Performance Classification- Part 1- General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SAE J300, Engine oil viscosity classification.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ACEA European Oil Sequences 2012. Service fill oils for Gasoline engines, light duty diesel engines, engines with after treatment devices and heavy duty engine oils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API 1509, Engine oil licensing and certification system.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t>ASTM D4485 Standard Specification for Performance of Active API Service Category Engine Oils</w:t>
            </w:r>
          </w:p>
          <w:p w:rsidR="00B82691" w:rsidRDefault="00E8275C" w:rsidP="00E8275C">
            <w:pPr>
              <w:numPr>
                <w:ilvl w:val="0"/>
                <w:numId w:val="16"/>
              </w:numPr>
              <w:spacing w:after="120"/>
            </w:pPr>
            <w:r>
              <w:rPr>
                <w:lang w:eastAsia="en-GB"/>
              </w:rPr>
              <w:lastRenderedPageBreak/>
              <w:t>SANS 1517:2005 High Performance engine lubricating oil for diesel engines (for API Service Category CH- 4)</w:t>
            </w:r>
            <w:bookmarkStart w:id="13" w:name="sps9a"/>
            <w:bookmarkStart w:id="14" w:name="sps9b"/>
            <w:bookmarkEnd w:id="13"/>
            <w:bookmarkEnd w:id="14"/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E8275C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E8275C" w:rsidP="00E8275C">
            <w:pPr>
              <w:spacing w:before="120" w:after="120"/>
            </w:pPr>
            <w:r w:rsidRPr="009D0EBF">
              <w:rPr>
                <w:b/>
              </w:rPr>
              <w:t xml:space="preserve">Proposed date of adoption: </w:t>
            </w:r>
            <w:bookmarkStart w:id="15" w:name="sps10a"/>
            <w:bookmarkStart w:id="16" w:name="sps10b"/>
            <w:bookmarkEnd w:id="15"/>
            <w:r w:rsidRPr="009D0EBF">
              <w:t>December 2018</w:t>
            </w:r>
            <w:bookmarkEnd w:id="16"/>
          </w:p>
          <w:p w:rsidR="004B48EF" w:rsidRPr="009D0EBF" w:rsidRDefault="00E8275C" w:rsidP="00E8275C">
            <w:pPr>
              <w:spacing w:after="120"/>
            </w:pPr>
            <w:r w:rsidRPr="009D0EBF">
              <w:rPr>
                <w:b/>
              </w:rPr>
              <w:t xml:space="preserve">Proposed date of entry into force: </w:t>
            </w:r>
            <w:bookmarkStart w:id="17" w:name="sps11a"/>
            <w:bookmarkStart w:id="18" w:name="sps11b"/>
            <w:bookmarkEnd w:id="17"/>
            <w:r w:rsidRPr="009D0EBF">
              <w:t>Upon declaration as mandatory by the Minister for Trade, Industry and Cooperatives</w:t>
            </w:r>
            <w:bookmarkEnd w:id="18"/>
          </w:p>
        </w:tc>
      </w:tr>
      <w:tr w:rsidR="00B82691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E8275C" w:rsidP="009D0EBF">
            <w:pPr>
              <w:spacing w:before="120" w:after="120"/>
            </w:pPr>
            <w:r w:rsidRPr="009D0EBF">
              <w:rPr>
                <w:b/>
              </w:rPr>
              <w:t xml:space="preserve">Final date for comments: </w:t>
            </w:r>
            <w:r>
              <w:t>60 days from notification</w:t>
            </w:r>
            <w:bookmarkStart w:id="19" w:name="sps12a"/>
            <w:bookmarkEnd w:id="19"/>
          </w:p>
        </w:tc>
      </w:tr>
      <w:tr w:rsidR="00B82691" w:rsidTr="009903FC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4C341F" w:rsidRPr="009D0EBF" w:rsidRDefault="00E8275C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E8275C" w:rsidRDefault="00E8275C" w:rsidP="005F4259">
            <w:pPr>
              <w:keepNext/>
              <w:keepLines/>
              <w:spacing w:before="120" w:after="120"/>
              <w:rPr>
                <w:bCs/>
              </w:rPr>
            </w:pPr>
            <w:r w:rsidRPr="009D0EBF">
              <w:rPr>
                <w:b/>
              </w:rPr>
              <w:t>Texts available from: National enquiry point [</w:t>
            </w:r>
            <w:bookmarkStart w:id="20" w:name="sps13b"/>
            <w:r w:rsidRPr="009D0EBF">
              <w:rPr>
                <w:b/>
              </w:rPr>
              <w:t>X</w:t>
            </w:r>
            <w:bookmarkEnd w:id="20"/>
            <w:r w:rsidRPr="009D0EBF">
              <w:rPr>
                <w:b/>
              </w:rPr>
              <w:t>] or address, telephone or fax numbers and email and website addresses, if available, of other body:</w:t>
            </w:r>
            <w:r w:rsidRPr="009D0EBF">
              <w:rPr>
                <w:bCs/>
              </w:rPr>
              <w:t xml:space="preserve"> </w:t>
            </w:r>
          </w:p>
          <w:p w:rsidR="004C341F" w:rsidRPr="009D0EBF" w:rsidRDefault="00C1750E" w:rsidP="005F4259">
            <w:pPr>
              <w:keepNext/>
              <w:keepLines/>
              <w:spacing w:before="120" w:after="120"/>
              <w:rPr>
                <w:b/>
              </w:rPr>
            </w:pPr>
            <w:hyperlink r:id="rId7" w:tgtFrame="_blank" w:history="1">
              <w:r w:rsidR="00E8275C">
                <w:rPr>
                  <w:color w:val="0000FF"/>
                  <w:u w:val="single"/>
                </w:rPr>
                <w:t>https://members.wto.org/crnattachments/2018/TBT/UGA/18_4764_00_e.pdf</w:t>
              </w:r>
            </w:hyperlink>
            <w:bookmarkStart w:id="21" w:name="sps13c"/>
            <w:bookmarkEnd w:id="21"/>
          </w:p>
        </w:tc>
      </w:tr>
    </w:tbl>
    <w:p w:rsidR="004B48EF" w:rsidRPr="009D0EBF" w:rsidRDefault="00C1750E" w:rsidP="009D0EBF"/>
    <w:sectPr w:rsidR="004B48EF" w:rsidRPr="009D0EBF" w:rsidSect="00E82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5F" w:rsidRDefault="00E8275C">
      <w:r>
        <w:separator/>
      </w:r>
    </w:p>
  </w:endnote>
  <w:endnote w:type="continuationSeparator" w:id="0">
    <w:p w:rsidR="00FF725F" w:rsidRDefault="00E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E8275C" w:rsidRDefault="00E8275C" w:rsidP="00E8275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E8275C" w:rsidRDefault="00E8275C" w:rsidP="00E8275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EF" w:rsidRPr="009D0EBF" w:rsidRDefault="00E8275C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5F" w:rsidRDefault="00E8275C">
      <w:r>
        <w:separator/>
      </w:r>
    </w:p>
  </w:footnote>
  <w:footnote w:type="continuationSeparator" w:id="0">
    <w:p w:rsidR="00FF725F" w:rsidRDefault="00E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75C" w:rsidRPr="00E8275C" w:rsidRDefault="00E8275C" w:rsidP="00E827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75C">
      <w:t>G/TBT/N/UGA/374/Rev.1</w:t>
    </w:r>
  </w:p>
  <w:p w:rsidR="00E8275C" w:rsidRPr="00E8275C" w:rsidRDefault="00E8275C" w:rsidP="00E827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275C" w:rsidRPr="00E8275C" w:rsidRDefault="00E8275C" w:rsidP="00E827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75C">
      <w:t xml:space="preserve">- </w:t>
    </w:r>
    <w:r w:rsidRPr="00E8275C">
      <w:fldChar w:fldCharType="begin"/>
    </w:r>
    <w:r w:rsidRPr="00E8275C">
      <w:instrText xml:space="preserve"> PAGE </w:instrText>
    </w:r>
    <w:r w:rsidRPr="00E8275C">
      <w:fldChar w:fldCharType="separate"/>
    </w:r>
    <w:r w:rsidR="00C1750E">
      <w:rPr>
        <w:noProof/>
      </w:rPr>
      <w:t>2</w:t>
    </w:r>
    <w:r w:rsidRPr="00E8275C">
      <w:fldChar w:fldCharType="end"/>
    </w:r>
    <w:r w:rsidRPr="00E8275C">
      <w:t xml:space="preserve"> -</w:t>
    </w:r>
  </w:p>
  <w:p w:rsidR="00D90ADD" w:rsidRPr="00E8275C" w:rsidRDefault="00C1750E" w:rsidP="00E8275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75C" w:rsidRPr="00E8275C" w:rsidRDefault="00E8275C" w:rsidP="00E827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75C">
      <w:t>G/TBT/N/UGA/374/Rev.1</w:t>
    </w:r>
  </w:p>
  <w:p w:rsidR="00E8275C" w:rsidRPr="00E8275C" w:rsidRDefault="00E8275C" w:rsidP="00E827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275C" w:rsidRPr="00E8275C" w:rsidRDefault="00E8275C" w:rsidP="00E827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75C">
      <w:t xml:space="preserve">- </w:t>
    </w:r>
    <w:r w:rsidRPr="00E8275C">
      <w:fldChar w:fldCharType="begin"/>
    </w:r>
    <w:r w:rsidRPr="00E8275C">
      <w:instrText xml:space="preserve"> PAGE </w:instrText>
    </w:r>
    <w:r w:rsidRPr="00E8275C">
      <w:fldChar w:fldCharType="separate"/>
    </w:r>
    <w:r w:rsidR="00C1750E">
      <w:rPr>
        <w:noProof/>
      </w:rPr>
      <w:t>3</w:t>
    </w:r>
    <w:r w:rsidRPr="00E8275C">
      <w:fldChar w:fldCharType="end"/>
    </w:r>
    <w:r w:rsidRPr="00E8275C">
      <w:t xml:space="preserve"> -</w:t>
    </w:r>
  </w:p>
  <w:p w:rsidR="00D90ADD" w:rsidRPr="00E8275C" w:rsidRDefault="00C1750E" w:rsidP="00E8275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2691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C1750E" w:rsidP="00F10043">
          <w:pPr>
            <w:rPr>
              <w:noProof/>
              <w:lang w:eastAsia="en-GB"/>
            </w:rPr>
          </w:pPr>
          <w:bookmarkStart w:id="2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E8275C" w:rsidP="00F1004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2"/>
    <w:tr w:rsidR="00B82691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987365" w:rsidP="00F10043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2F6EFA2" wp14:editId="665404EC">
                <wp:extent cx="2400300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C1750E" w:rsidP="00F10043">
          <w:pPr>
            <w:jc w:val="right"/>
            <w:rPr>
              <w:b/>
              <w:szCs w:val="16"/>
            </w:rPr>
          </w:pPr>
        </w:p>
      </w:tc>
    </w:tr>
    <w:tr w:rsidR="00B82691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C1750E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8275C" w:rsidRDefault="00E8275C" w:rsidP="00F10043">
          <w:pPr>
            <w:jc w:val="right"/>
            <w:rPr>
              <w:b/>
              <w:szCs w:val="16"/>
            </w:rPr>
          </w:pPr>
          <w:bookmarkStart w:id="23" w:name="bmkSymbols"/>
          <w:r>
            <w:rPr>
              <w:b/>
              <w:szCs w:val="16"/>
            </w:rPr>
            <w:t>G/TBT/N/UGA/374/Rev.1</w:t>
          </w:r>
        </w:p>
        <w:bookmarkEnd w:id="23"/>
        <w:p w:rsidR="00ED54E0" w:rsidRPr="00D90ADD" w:rsidRDefault="00C1750E" w:rsidP="00F10043">
          <w:pPr>
            <w:jc w:val="right"/>
            <w:rPr>
              <w:b/>
              <w:szCs w:val="16"/>
            </w:rPr>
          </w:pPr>
        </w:p>
      </w:tc>
    </w:tr>
    <w:tr w:rsidR="00B82691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C1750E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D632F8" w:rsidP="00F10043">
          <w:pPr>
            <w:jc w:val="right"/>
            <w:rPr>
              <w:szCs w:val="16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6"/>
            </w:rPr>
            <w:t>5 September 2018</w:t>
          </w:r>
        </w:p>
      </w:tc>
    </w:tr>
    <w:tr w:rsidR="00B82691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E8275C" w:rsidP="0029715D">
          <w:pPr>
            <w:jc w:val="left"/>
            <w:rPr>
              <w:b/>
            </w:rPr>
          </w:pPr>
          <w:bookmarkStart w:id="26" w:name="bmkSerial"/>
          <w:r w:rsidRPr="009D0EBF">
            <w:rPr>
              <w:color w:val="FF0000"/>
              <w:szCs w:val="16"/>
            </w:rPr>
            <w:t>(</w:t>
          </w:r>
          <w:bookmarkStart w:id="27" w:name="spsSerialNumber"/>
          <w:bookmarkEnd w:id="27"/>
          <w:r w:rsidR="00D632F8">
            <w:rPr>
              <w:color w:val="FF0000"/>
              <w:szCs w:val="16"/>
            </w:rPr>
            <w:t>18-</w:t>
          </w:r>
          <w:r w:rsidR="00C1750E">
            <w:rPr>
              <w:color w:val="FF0000"/>
              <w:szCs w:val="16"/>
            </w:rPr>
            <w:t>5561</w:t>
          </w:r>
          <w:r w:rsidRPr="009D0EBF">
            <w:rPr>
              <w:color w:val="FF0000"/>
              <w:szCs w:val="16"/>
            </w:rPr>
            <w:t>)</w:t>
          </w:r>
          <w:bookmarkEnd w:id="2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E8275C" w:rsidP="00F10043">
          <w:pPr>
            <w:jc w:val="right"/>
            <w:rPr>
              <w:szCs w:val="16"/>
            </w:rPr>
          </w:pPr>
          <w:bookmarkStart w:id="28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C1750E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C1750E">
            <w:rPr>
              <w:bCs/>
              <w:noProof/>
              <w:szCs w:val="16"/>
            </w:rPr>
            <w:t>3</w:t>
          </w:r>
          <w:r w:rsidRPr="009D0EBF">
            <w:rPr>
              <w:bCs/>
              <w:szCs w:val="16"/>
            </w:rPr>
            <w:fldChar w:fldCharType="end"/>
          </w:r>
          <w:bookmarkEnd w:id="28"/>
        </w:p>
      </w:tc>
    </w:tr>
    <w:tr w:rsidR="00B82691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E8275C" w:rsidP="00F10043">
          <w:pPr>
            <w:jc w:val="left"/>
            <w:rPr>
              <w:sz w:val="14"/>
              <w:szCs w:val="16"/>
            </w:rPr>
          </w:pPr>
          <w:bookmarkStart w:id="29" w:name="bmkCommittee"/>
          <w:r>
            <w:rPr>
              <w:b/>
            </w:rPr>
            <w:t>Committee on Technical Barriers to Trade</w:t>
          </w:r>
          <w:bookmarkEnd w:id="2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E8275C" w:rsidP="00854DAF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>Original: English</w:t>
          </w:r>
          <w:bookmarkEnd w:id="30"/>
        </w:p>
      </w:tc>
    </w:tr>
  </w:tbl>
  <w:p w:rsidR="00ED54E0" w:rsidRPr="009D0EBF" w:rsidRDefault="00C1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F6A3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E40C06" w:tentative="1">
      <w:start w:val="1"/>
      <w:numFmt w:val="lowerLetter"/>
      <w:lvlText w:val="%2."/>
      <w:lvlJc w:val="left"/>
      <w:pPr>
        <w:ind w:left="1080" w:hanging="360"/>
      </w:pPr>
    </w:lvl>
    <w:lvl w:ilvl="2" w:tplc="A75E599C" w:tentative="1">
      <w:start w:val="1"/>
      <w:numFmt w:val="lowerRoman"/>
      <w:lvlText w:val="%3."/>
      <w:lvlJc w:val="right"/>
      <w:pPr>
        <w:ind w:left="1800" w:hanging="180"/>
      </w:pPr>
    </w:lvl>
    <w:lvl w:ilvl="3" w:tplc="51861160" w:tentative="1">
      <w:start w:val="1"/>
      <w:numFmt w:val="decimal"/>
      <w:lvlText w:val="%4."/>
      <w:lvlJc w:val="left"/>
      <w:pPr>
        <w:ind w:left="2520" w:hanging="360"/>
      </w:pPr>
    </w:lvl>
    <w:lvl w:ilvl="4" w:tplc="EB22F562" w:tentative="1">
      <w:start w:val="1"/>
      <w:numFmt w:val="lowerLetter"/>
      <w:lvlText w:val="%5."/>
      <w:lvlJc w:val="left"/>
      <w:pPr>
        <w:ind w:left="3240" w:hanging="360"/>
      </w:pPr>
    </w:lvl>
    <w:lvl w:ilvl="5" w:tplc="3FC4C4AA" w:tentative="1">
      <w:start w:val="1"/>
      <w:numFmt w:val="lowerRoman"/>
      <w:lvlText w:val="%6."/>
      <w:lvlJc w:val="right"/>
      <w:pPr>
        <w:ind w:left="3960" w:hanging="180"/>
      </w:pPr>
    </w:lvl>
    <w:lvl w:ilvl="6" w:tplc="477E1BE6" w:tentative="1">
      <w:start w:val="1"/>
      <w:numFmt w:val="decimal"/>
      <w:lvlText w:val="%7."/>
      <w:lvlJc w:val="left"/>
      <w:pPr>
        <w:ind w:left="4680" w:hanging="360"/>
      </w:pPr>
    </w:lvl>
    <w:lvl w:ilvl="7" w:tplc="A9AA8C92" w:tentative="1">
      <w:start w:val="1"/>
      <w:numFmt w:val="lowerLetter"/>
      <w:lvlText w:val="%8."/>
      <w:lvlJc w:val="left"/>
      <w:pPr>
        <w:ind w:left="5400" w:hanging="360"/>
      </w:pPr>
    </w:lvl>
    <w:lvl w:ilvl="8" w:tplc="4670BE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91"/>
    <w:rsid w:val="00987365"/>
    <w:rsid w:val="00B82691"/>
    <w:rsid w:val="00C1750E"/>
    <w:rsid w:val="00D632F8"/>
    <w:rsid w:val="00E8275C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A4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GA/18_476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5087</Characters>
  <Application>Microsoft Office Word</Application>
  <DocSecurity>0</DocSecurity>
  <Lines>105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2018-09-05T14:09:00Z</dcterms:created>
  <dcterms:modified xsi:type="dcterms:W3CDTF">2018-09-05T14:38:00Z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G/TBT/N/UGA/374/Rev.1</vt:lpwstr>
  </property>
</Properties>
</file>