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5684B" w:rsidP="002F6A28">
      <w:pPr>
        <w:pStyle w:val="Titre"/>
        <w:rPr>
          <w:caps w:val="0"/>
          <w:kern w:val="0"/>
        </w:rPr>
      </w:pPr>
      <w:r w:rsidRPr="002F6A28">
        <w:rPr>
          <w:caps w:val="0"/>
          <w:kern w:val="0"/>
        </w:rPr>
        <w:t>NOTIFICATION</w:t>
      </w:r>
    </w:p>
    <w:p w:rsidR="009239F7" w:rsidRPr="002F6A28" w:rsidRDefault="00D5684B" w:rsidP="002F6A28">
      <w:pPr>
        <w:jc w:val="center"/>
      </w:pPr>
      <w:r w:rsidRPr="002F6A28">
        <w:t>The following notification is being circulated in accordance with Article 10.6</w:t>
      </w:r>
    </w:p>
    <w:p w:rsidR="009239F7" w:rsidRPr="002F6A28" w:rsidRDefault="00E4173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94ADD" w:rsidTr="0069259F">
        <w:tc>
          <w:tcPr>
            <w:tcW w:w="713" w:type="dxa"/>
            <w:tcBorders>
              <w:bottom w:val="single" w:sz="6" w:space="0" w:color="auto"/>
            </w:tcBorders>
            <w:shd w:val="clear" w:color="auto" w:fill="auto"/>
          </w:tcPr>
          <w:p w:rsidR="00F85C99" w:rsidRPr="002F6A28" w:rsidRDefault="00D5684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5684B" w:rsidP="00D5684B">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D5684B" w:rsidP="00D5684B">
            <w:pPr>
              <w:spacing w:after="120"/>
            </w:pPr>
            <w:r w:rsidRPr="002F6A28">
              <w:rPr>
                <w:b/>
              </w:rPr>
              <w:t>If applicable, name of local government involved (Article 3.2 and 7.2):</w:t>
            </w:r>
            <w:r w:rsidRPr="002F6A28">
              <w:t xml:space="preserve"> </w:t>
            </w:r>
            <w:bookmarkStart w:id="1" w:name="sps1b"/>
            <w:bookmarkEnd w:id="1"/>
          </w:p>
        </w:tc>
      </w:tr>
      <w:tr w:rsidR="00594ADD" w:rsidTr="0069259F">
        <w:tc>
          <w:tcPr>
            <w:tcW w:w="713" w:type="dxa"/>
            <w:tcBorders>
              <w:top w:val="single" w:sz="6" w:space="0" w:color="auto"/>
              <w:bottom w:val="single" w:sz="6" w:space="0" w:color="auto"/>
            </w:tcBorders>
            <w:shd w:val="clear" w:color="auto" w:fill="auto"/>
          </w:tcPr>
          <w:p w:rsidR="00F85C99" w:rsidRPr="002F6A28" w:rsidRDefault="00D5684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5684B" w:rsidP="00D5684B">
            <w:pPr>
              <w:spacing w:before="120" w:after="120"/>
            </w:pPr>
            <w:r w:rsidRPr="002F6A28">
              <w:rPr>
                <w:b/>
              </w:rPr>
              <w:t xml:space="preserve">Agency responsible: </w:t>
            </w:r>
            <w:r>
              <w:t>European Commission</w:t>
            </w:r>
            <w:bookmarkStart w:id="2" w:name="sps2a"/>
            <w:bookmarkEnd w:id="2"/>
          </w:p>
          <w:p w:rsidR="00C33420" w:rsidRDefault="00D5684B" w:rsidP="00D5684B">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C33420" w:rsidRDefault="00D5684B" w:rsidP="00D5684B">
            <w:pPr>
              <w:spacing w:before="120"/>
              <w:rPr>
                <w:lang w:val="fr-CH"/>
              </w:rPr>
            </w:pPr>
            <w:proofErr w:type="spellStart"/>
            <w:r w:rsidRPr="00B73AB3">
              <w:rPr>
                <w:lang w:val="fr-FR"/>
              </w:rPr>
              <w:t>European</w:t>
            </w:r>
            <w:proofErr w:type="spellEnd"/>
            <w:r w:rsidRPr="00B73AB3">
              <w:rPr>
                <w:lang w:val="fr-FR"/>
              </w:rPr>
              <w:t xml:space="preserve"> Commission</w:t>
            </w:r>
          </w:p>
          <w:p w:rsidR="00594ADD" w:rsidRPr="00C33420" w:rsidRDefault="00D5684B" w:rsidP="00D5684B">
            <w:pPr>
              <w:rPr>
                <w:lang w:val="fr-CH"/>
              </w:rPr>
            </w:pPr>
            <w:r w:rsidRPr="00C33420">
              <w:rPr>
                <w:lang w:val="fr-CH"/>
              </w:rPr>
              <w:t>EU-</w:t>
            </w:r>
            <w:proofErr w:type="spellStart"/>
            <w:r w:rsidRPr="00C33420">
              <w:rPr>
                <w:lang w:val="fr-CH"/>
              </w:rPr>
              <w:t>TBT</w:t>
            </w:r>
            <w:proofErr w:type="spellEnd"/>
            <w:r w:rsidRPr="00C33420">
              <w:rPr>
                <w:lang w:val="fr-CH"/>
              </w:rPr>
              <w:t xml:space="preserve"> </w:t>
            </w:r>
            <w:proofErr w:type="spellStart"/>
            <w:r w:rsidRPr="00C33420">
              <w:rPr>
                <w:lang w:val="fr-CH"/>
              </w:rPr>
              <w:t>Enquiry</w:t>
            </w:r>
            <w:proofErr w:type="spellEnd"/>
            <w:r w:rsidRPr="00C33420">
              <w:rPr>
                <w:lang w:val="fr-CH"/>
              </w:rPr>
              <w:t xml:space="preserve"> Point</w:t>
            </w:r>
          </w:p>
          <w:p w:rsidR="00594ADD" w:rsidRPr="00C33420" w:rsidRDefault="00D5684B" w:rsidP="00D5684B">
            <w:pPr>
              <w:rPr>
                <w:lang w:val="fr-CH"/>
              </w:rPr>
            </w:pPr>
            <w:proofErr w:type="gramStart"/>
            <w:r w:rsidRPr="00C33420">
              <w:rPr>
                <w:lang w:val="fr-CH"/>
              </w:rPr>
              <w:t>Fax:</w:t>
            </w:r>
            <w:proofErr w:type="gramEnd"/>
            <w:r w:rsidRPr="00C33420">
              <w:rPr>
                <w:lang w:val="fr-CH"/>
              </w:rPr>
              <w:t xml:space="preserve"> +(32) 2 299 80 43</w:t>
            </w:r>
          </w:p>
          <w:p w:rsidR="00594ADD" w:rsidRPr="00B73AB3" w:rsidRDefault="00D5684B" w:rsidP="00D5684B">
            <w:pPr>
              <w:rPr>
                <w:lang w:val="fr-FR"/>
              </w:rPr>
            </w:pPr>
            <w:proofErr w:type="gramStart"/>
            <w:r w:rsidRPr="00B73AB3">
              <w:rPr>
                <w:lang w:val="fr-FR"/>
              </w:rPr>
              <w:t>E-mail:</w:t>
            </w:r>
            <w:proofErr w:type="gramEnd"/>
            <w:r w:rsidRPr="00B73AB3">
              <w:rPr>
                <w:lang w:val="fr-FR"/>
              </w:rPr>
              <w:t xml:space="preserve"> </w:t>
            </w:r>
            <w:r w:rsidR="00E4173D">
              <w:fldChar w:fldCharType="begin"/>
            </w:r>
            <w:r w:rsidR="00E4173D" w:rsidRPr="00E4173D">
              <w:rPr>
                <w:lang w:val="fr-FR"/>
              </w:rPr>
              <w:instrText xml:space="preserve"> HYPERLINK "mailto:grow-eu-tbt@ec.europa.eu" </w:instrText>
            </w:r>
            <w:r w:rsidR="00E4173D">
              <w:fldChar w:fldCharType="separate"/>
            </w:r>
            <w:r w:rsidRPr="00B73AB3">
              <w:rPr>
                <w:color w:val="0000FF"/>
                <w:u w:val="single"/>
                <w:lang w:val="fr-FR"/>
              </w:rPr>
              <w:t>grow-eu-tbt@ec.europa.eu</w:t>
            </w:r>
            <w:r w:rsidR="00E4173D">
              <w:rPr>
                <w:color w:val="0000FF"/>
                <w:u w:val="single"/>
                <w:lang w:val="fr-FR"/>
              </w:rPr>
              <w:fldChar w:fldCharType="end"/>
            </w:r>
          </w:p>
          <w:p w:rsidR="00594ADD" w:rsidRDefault="00D5684B" w:rsidP="00D5684B">
            <w:pPr>
              <w:spacing w:after="120"/>
            </w:pPr>
            <w:r>
              <w:t xml:space="preserve">Website: </w:t>
            </w:r>
            <w:hyperlink r:id="rId7" w:tgtFrame="_blank" w:history="1">
              <w:r>
                <w:rPr>
                  <w:color w:val="0000FF"/>
                  <w:u w:val="single"/>
                </w:rPr>
                <w:t>http://ec.europa.eu/growth/tools-databases/tbt/en/</w:t>
              </w:r>
            </w:hyperlink>
            <w:r>
              <w:t xml:space="preserve"> </w:t>
            </w:r>
            <w:bookmarkStart w:id="3" w:name="sps4a"/>
            <w:bookmarkEnd w:id="3"/>
          </w:p>
        </w:tc>
      </w:tr>
      <w:tr w:rsidR="00594ADD" w:rsidTr="0069259F">
        <w:tc>
          <w:tcPr>
            <w:tcW w:w="713" w:type="dxa"/>
            <w:tcBorders>
              <w:top w:val="single" w:sz="6" w:space="0" w:color="auto"/>
              <w:bottom w:val="single" w:sz="6" w:space="0" w:color="auto"/>
            </w:tcBorders>
            <w:shd w:val="clear" w:color="auto" w:fill="auto"/>
          </w:tcPr>
          <w:p w:rsidR="00F85C99" w:rsidRPr="002F6A28" w:rsidRDefault="00D5684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5684B" w:rsidP="00D5684B">
            <w:pPr>
              <w:spacing w:before="120" w:after="120"/>
              <w:rPr>
                <w:b/>
              </w:rPr>
            </w:pPr>
            <w:r w:rsidRPr="002F6A28">
              <w:rPr>
                <w:b/>
              </w:rPr>
              <w:t>Notified</w:t>
            </w:r>
            <w:bookmarkStart w:id="4" w:name="tbt3a"/>
            <w:r w:rsidR="00C33420">
              <w:rPr>
                <w:b/>
              </w:rPr>
              <w:t xml:space="preserve"> under Article 2.9.2 [</w:t>
            </w:r>
            <w:r w:rsidRPr="002F6A28">
              <w:rPr>
                <w:b/>
              </w:rPr>
              <w:t>X</w:t>
            </w:r>
            <w:bookmarkEnd w:id="4"/>
            <w:r w:rsidRPr="002F6A28">
              <w:rPr>
                <w:b/>
              </w:rPr>
              <w:t xml:space="preserve">], 2.10.1 </w:t>
            </w:r>
            <w:proofErr w:type="gramStart"/>
            <w:r w:rsidRPr="002F6A28">
              <w:rPr>
                <w:b/>
              </w:rPr>
              <w:t>[</w:t>
            </w:r>
            <w:r w:rsidR="00C33420" w:rsidRPr="002F6A28">
              <w:rPr>
                <w:b/>
              </w:rPr>
              <w:t> </w:t>
            </w:r>
            <w:r w:rsidRPr="002F6A28">
              <w:rPr>
                <w:b/>
              </w:rPr>
              <w:t>]</w:t>
            </w:r>
            <w:proofErr w:type="gramEnd"/>
            <w:r w:rsidRPr="002F6A28">
              <w:rPr>
                <w:b/>
              </w:rPr>
              <w:t>, 5.6.2 [</w:t>
            </w:r>
            <w:r w:rsidR="00C33420" w:rsidRPr="002F6A28">
              <w:rPr>
                <w:b/>
              </w:rPr>
              <w:t> </w:t>
            </w:r>
            <w:r w:rsidRPr="002F6A28">
              <w:rPr>
                <w:b/>
              </w:rPr>
              <w:t>], 5.7.1 [</w:t>
            </w:r>
            <w:r w:rsidR="00C33420" w:rsidRPr="002F6A28">
              <w:rPr>
                <w:b/>
              </w:rPr>
              <w:t> </w:t>
            </w:r>
            <w:r w:rsidRPr="002F6A28">
              <w:rPr>
                <w:b/>
              </w:rPr>
              <w:t>], other:</w:t>
            </w:r>
            <w:bookmarkStart w:id="5" w:name="tbt3e"/>
            <w:bookmarkEnd w:id="5"/>
          </w:p>
        </w:tc>
      </w:tr>
      <w:tr w:rsidR="00594ADD" w:rsidTr="0069259F">
        <w:tc>
          <w:tcPr>
            <w:tcW w:w="713" w:type="dxa"/>
            <w:tcBorders>
              <w:top w:val="single" w:sz="6" w:space="0" w:color="auto"/>
              <w:bottom w:val="single" w:sz="6" w:space="0" w:color="auto"/>
            </w:tcBorders>
            <w:shd w:val="clear" w:color="auto" w:fill="auto"/>
          </w:tcPr>
          <w:p w:rsidR="00F85C99" w:rsidRPr="002F6A28" w:rsidRDefault="00D5684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94ADD" w:rsidRDefault="00D5684B" w:rsidP="00D5684B">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Electronic displays</w:t>
            </w:r>
            <w:bookmarkStart w:id="6" w:name="sps3a"/>
            <w:bookmarkEnd w:id="6"/>
          </w:p>
        </w:tc>
      </w:tr>
      <w:tr w:rsidR="00594ADD" w:rsidTr="0069259F">
        <w:tc>
          <w:tcPr>
            <w:tcW w:w="713" w:type="dxa"/>
            <w:tcBorders>
              <w:top w:val="single" w:sz="6" w:space="0" w:color="auto"/>
              <w:bottom w:val="single" w:sz="6" w:space="0" w:color="auto"/>
            </w:tcBorders>
            <w:shd w:val="clear" w:color="auto" w:fill="auto"/>
          </w:tcPr>
          <w:p w:rsidR="00F85C99" w:rsidRPr="002F6A28" w:rsidRDefault="00D5684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5684B" w:rsidP="00D5684B">
            <w:pPr>
              <w:spacing w:before="120" w:after="120"/>
            </w:pPr>
            <w:r w:rsidRPr="002F6A28">
              <w:rPr>
                <w:b/>
              </w:rPr>
              <w:t xml:space="preserve">Title, number of pages and language(s) of the notified document: </w:t>
            </w:r>
            <w:r>
              <w:t xml:space="preserve">Draft Commission Regulation laying down </w:t>
            </w:r>
            <w:proofErr w:type="spellStart"/>
            <w:r>
              <w:t>ecodesign</w:t>
            </w:r>
            <w:proofErr w:type="spellEnd"/>
            <w:r>
              <w:t xml:space="preserve"> requirements for electronic displays pursuant to Directive 2009/125/EC of the European Parliament and of the Council, amending Commission Regulation (EC) No 1275/2008 and repealing Commission Regulation (EC) 642/2009 (and its accompanying </w:t>
            </w:r>
            <w:r w:rsidR="00C33420">
              <w:t>annexes) (12 pages + Annexes 23 </w:t>
            </w:r>
            <w:r>
              <w:t>pages, in English)</w:t>
            </w:r>
            <w:bookmarkStart w:id="7" w:name="sps5a"/>
            <w:bookmarkStart w:id="8" w:name="sps5b"/>
            <w:bookmarkEnd w:id="7"/>
            <w:bookmarkEnd w:id="8"/>
            <w:r w:rsidR="00C33420" w:rsidRPr="002F6A28">
              <w:t xml:space="preserve"> </w:t>
            </w:r>
          </w:p>
        </w:tc>
      </w:tr>
      <w:tr w:rsidR="00594ADD" w:rsidTr="0069259F">
        <w:tc>
          <w:tcPr>
            <w:tcW w:w="713" w:type="dxa"/>
            <w:tcBorders>
              <w:top w:val="single" w:sz="6" w:space="0" w:color="auto"/>
              <w:bottom w:val="single" w:sz="6" w:space="0" w:color="auto"/>
            </w:tcBorders>
            <w:shd w:val="clear" w:color="auto" w:fill="auto"/>
          </w:tcPr>
          <w:p w:rsidR="00F85C99" w:rsidRPr="002F6A28" w:rsidRDefault="00D5684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5684B" w:rsidP="00D5684B">
            <w:pPr>
              <w:spacing w:before="120" w:after="120"/>
              <w:rPr>
                <w:b/>
              </w:rPr>
            </w:pPr>
            <w:r w:rsidRPr="002F6A28">
              <w:rPr>
                <w:b/>
              </w:rPr>
              <w:t xml:space="preserve">Description of content: </w:t>
            </w:r>
            <w:r>
              <w:t>This draft Commission Regulation applies to electronic displays (</w:t>
            </w:r>
            <w:proofErr w:type="gramStart"/>
            <w:r>
              <w:t>in particular televisions</w:t>
            </w:r>
            <w:proofErr w:type="gramEnd"/>
            <w:r>
              <w:t>, monitors and signage displays) to be placed on the EU market.</w:t>
            </w:r>
          </w:p>
          <w:p w:rsidR="00594ADD" w:rsidRDefault="00D5684B" w:rsidP="00D5684B">
            <w:pPr>
              <w:spacing w:after="120"/>
            </w:pPr>
            <w:r>
              <w:t xml:space="preserve">The draft regulation lays down minimum energy performance requirements, </w:t>
            </w:r>
            <w:proofErr w:type="gramStart"/>
            <w:r>
              <w:t>in particular on</w:t>
            </w:r>
            <w:proofErr w:type="gramEnd"/>
            <w:r>
              <w:t xml:space="preserve"> maximum power demand in on-, standby-, network standby- and off-mode. No maximum power demand requirements in on-mode are laid down for signage displays.</w:t>
            </w:r>
          </w:p>
          <w:p w:rsidR="00594ADD" w:rsidRDefault="00D5684B" w:rsidP="00D5684B">
            <w:pPr>
              <w:spacing w:after="120"/>
            </w:pPr>
            <w:r>
              <w:t xml:space="preserve">The draft regulation also lays down requirements on resource efficiency-related aspects, including design to enhance extraction of key components, marking of plastic parts and a logo for the presence of mercury or cadmium. </w:t>
            </w:r>
          </w:p>
          <w:p w:rsidR="00594ADD" w:rsidRDefault="00D5684B" w:rsidP="00D5684B">
            <w:pPr>
              <w:spacing w:after="120"/>
            </w:pPr>
            <w:r>
              <w:t xml:space="preserve">In accordance with the </w:t>
            </w:r>
            <w:proofErr w:type="spellStart"/>
            <w:r>
              <w:t>Ecodesign</w:t>
            </w:r>
            <w:proofErr w:type="spellEnd"/>
            <w:r>
              <w:t xml:space="preserve"> Directive 2009/125/EC, electronic displays not meeting these requirements will not be allowed to be placed on the EU market. The draft Regulation is based on the findings of technical, environmental and economic studies and </w:t>
            </w:r>
            <w:proofErr w:type="gramStart"/>
            <w:r>
              <w:t>takes into account</w:t>
            </w:r>
            <w:proofErr w:type="gramEnd"/>
            <w:r>
              <w:t xml:space="preserve"> the opinions of the different stakeholders.</w:t>
            </w:r>
            <w:bookmarkStart w:id="9" w:name="sps6a"/>
            <w:bookmarkEnd w:id="9"/>
          </w:p>
        </w:tc>
      </w:tr>
      <w:tr w:rsidR="00594ADD" w:rsidTr="0069259F">
        <w:tc>
          <w:tcPr>
            <w:tcW w:w="713" w:type="dxa"/>
            <w:tcBorders>
              <w:top w:val="single" w:sz="6" w:space="0" w:color="auto"/>
              <w:bottom w:val="single" w:sz="6" w:space="0" w:color="auto"/>
            </w:tcBorders>
            <w:shd w:val="clear" w:color="auto" w:fill="auto"/>
          </w:tcPr>
          <w:p w:rsidR="00F85C99" w:rsidRPr="002F6A28" w:rsidRDefault="00D5684B" w:rsidP="00C33420">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D5684B" w:rsidP="00D5684B">
            <w:pPr>
              <w:keepNext/>
              <w:keepLines/>
              <w:spacing w:before="120" w:after="120"/>
              <w:rPr>
                <w:b/>
              </w:rPr>
            </w:pPr>
            <w:r w:rsidRPr="002F6A28">
              <w:rPr>
                <w:b/>
              </w:rPr>
              <w:t xml:space="preserve">Objective and rationale, including the nature of urgent problems where applicable: </w:t>
            </w:r>
            <w:r>
              <w:t>The aim of the draft Regulation is to increase the energy efficiency and recyclability of electronic displays in the EU, thus contributing to the mitigation of climate change and development of the circular economy.</w:t>
            </w:r>
          </w:p>
          <w:p w:rsidR="00594ADD" w:rsidRDefault="00D5684B" w:rsidP="00D5684B">
            <w:pPr>
              <w:keepNext/>
              <w:keepLines/>
              <w:spacing w:after="120"/>
            </w:pPr>
            <w:r>
              <w:t xml:space="preserve">Existing EU measures addressing energy efficiency of televisions need to be adapted </w:t>
            </w:r>
            <w:proofErr w:type="gramStart"/>
            <w:r>
              <w:t>as a result of</w:t>
            </w:r>
            <w:proofErr w:type="gramEnd"/>
            <w:r>
              <w:t xml:space="preserve"> the technological changes over the past 8 years. Furthermore, there has been a functional convergence between different products, all capable of displaying video content: as only "televisions and television monitors" are covered by the existing requirements, a regulatory loophole exists for other types of displays, this also causes legal </w:t>
            </w:r>
            <w:proofErr w:type="spellStart"/>
            <w:r>
              <w:t>uncertaintity</w:t>
            </w:r>
            <w:proofErr w:type="spellEnd"/>
            <w:r>
              <w:t xml:space="preserve"> for economic operators. </w:t>
            </w:r>
          </w:p>
          <w:p w:rsidR="00594ADD" w:rsidRDefault="00D5684B" w:rsidP="00D5684B">
            <w:pPr>
              <w:keepNext/>
              <w:keepLines/>
              <w:spacing w:after="120"/>
            </w:pPr>
            <w:r>
              <w:t xml:space="preserve">The proposed regulation therefore covers electronic displays more in general and updates the technical requirements in the light of experience gained and technological progress. It also includes elements aimed at facilitating the safe and cost-effective recycling of such displays. </w:t>
            </w:r>
            <w:bookmarkStart w:id="10" w:name="sps7f"/>
            <w:bookmarkEnd w:id="10"/>
          </w:p>
        </w:tc>
      </w:tr>
      <w:tr w:rsidR="00594ADD" w:rsidTr="0069259F">
        <w:tc>
          <w:tcPr>
            <w:tcW w:w="713" w:type="dxa"/>
            <w:tcBorders>
              <w:top w:val="single" w:sz="6" w:space="0" w:color="auto"/>
              <w:bottom w:val="single" w:sz="6" w:space="0" w:color="auto"/>
            </w:tcBorders>
            <w:shd w:val="clear" w:color="auto" w:fill="auto"/>
          </w:tcPr>
          <w:p w:rsidR="00F85C99" w:rsidRPr="002F6A28" w:rsidRDefault="00D5684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5684B" w:rsidP="00D5684B">
            <w:pPr>
              <w:spacing w:before="120" w:after="120"/>
            </w:pPr>
            <w:r w:rsidRPr="002F6A28">
              <w:rPr>
                <w:b/>
              </w:rPr>
              <w:t>Relevant documents:</w:t>
            </w:r>
            <w:r w:rsidRPr="002F6A28">
              <w:t xml:space="preserve"> </w:t>
            </w:r>
          </w:p>
          <w:p w:rsidR="00F85C99" w:rsidRPr="002F6A28" w:rsidRDefault="00E4173D" w:rsidP="00D5684B">
            <w:pPr>
              <w:spacing w:after="120"/>
            </w:pPr>
            <w:hyperlink r:id="rId8" w:tgtFrame="_blank" w:history="1">
              <w:r w:rsidR="00D5684B">
                <w:rPr>
                  <w:color w:val="0000FF"/>
                </w:rPr>
                <w:t>Directive 2009/125/EC</w:t>
              </w:r>
            </w:hyperlink>
            <w:r w:rsidR="00D5684B">
              <w:t xml:space="preserve"> of the European Parliament and of the Council of 21 October 2009 establishing a framework for the setting of </w:t>
            </w:r>
            <w:proofErr w:type="spellStart"/>
            <w:r w:rsidR="00D5684B">
              <w:t>ecodesign</w:t>
            </w:r>
            <w:proofErr w:type="spellEnd"/>
            <w:r w:rsidR="00D5684B">
              <w:t xml:space="preserve"> requirements for energy-related products, </w:t>
            </w:r>
            <w:r w:rsidR="00D5684B">
              <w:rPr>
                <w:i/>
                <w:iCs/>
              </w:rPr>
              <w:t xml:space="preserve">Official Journal L </w:t>
            </w:r>
            <w:proofErr w:type="gramStart"/>
            <w:r w:rsidR="00D5684B">
              <w:rPr>
                <w:i/>
                <w:iCs/>
              </w:rPr>
              <w:t>285 ,</w:t>
            </w:r>
            <w:proofErr w:type="gramEnd"/>
            <w:r w:rsidR="00D5684B">
              <w:rPr>
                <w:i/>
                <w:iCs/>
              </w:rPr>
              <w:t xml:space="preserve"> 31 October 2009, P. 010.</w:t>
            </w:r>
          </w:p>
          <w:p w:rsidR="00594ADD" w:rsidRDefault="00E4173D" w:rsidP="00D5684B">
            <w:pPr>
              <w:spacing w:after="120"/>
            </w:pPr>
            <w:hyperlink r:id="rId9" w:history="1">
              <w:r w:rsidR="00D5684B">
                <w:rPr>
                  <w:color w:val="0000FF"/>
                  <w:u w:val="single"/>
                </w:rPr>
                <w:t>http://eur-lex.europa.eu/LexUriServ/LexUriServ.do?uri=OJ:L:2009:285:0010:0035:en:PDF</w:t>
              </w:r>
            </w:hyperlink>
          </w:p>
          <w:p w:rsidR="00594ADD" w:rsidRDefault="00D5684B" w:rsidP="00D5684B">
            <w:pPr>
              <w:spacing w:after="120"/>
            </w:pPr>
            <w:r>
              <w:t xml:space="preserve">Commission Regulation (EC) No 642/2009 of 22 July 2009 implementing Directive 2005/32/EC of the European Parliament and of the Council </w:t>
            </w:r>
            <w:proofErr w:type="gramStart"/>
            <w:r>
              <w:t>with regard to</w:t>
            </w:r>
            <w:proofErr w:type="gramEnd"/>
            <w:r>
              <w:t xml:space="preserve"> </w:t>
            </w:r>
            <w:proofErr w:type="spellStart"/>
            <w:r>
              <w:t>ecodesign</w:t>
            </w:r>
            <w:proofErr w:type="spellEnd"/>
            <w:r>
              <w:t xml:space="preserve"> requirements for televisions </w:t>
            </w:r>
          </w:p>
          <w:p w:rsidR="00594ADD" w:rsidRDefault="00E4173D" w:rsidP="00D5684B">
            <w:pPr>
              <w:spacing w:after="120"/>
            </w:pPr>
            <w:hyperlink r:id="rId10" w:history="1">
              <w:r w:rsidR="00D5684B">
                <w:rPr>
                  <w:color w:val="0000FF"/>
                  <w:u w:val="single"/>
                </w:rPr>
                <w:t>https://eur-lex.europa.eu/legal-content/EN/TXT/?uri=CELEX:02009R0642-20130912</w:t>
              </w:r>
            </w:hyperlink>
          </w:p>
          <w:p w:rsidR="00594ADD" w:rsidRDefault="00E4173D" w:rsidP="00D5684B">
            <w:pPr>
              <w:spacing w:after="120"/>
            </w:pPr>
            <w:hyperlink r:id="rId11" w:history="1">
              <w:r w:rsidR="00D5684B">
                <w:rPr>
                  <w:color w:val="0000FF"/>
                  <w:u w:val="single"/>
                </w:rPr>
                <w:t>https://eur-lex.europa.eu/legal-content/EN/TXT/?uri=CELEX:32009R0642</w:t>
              </w:r>
            </w:hyperlink>
            <w:bookmarkStart w:id="11" w:name="sps9a"/>
            <w:bookmarkEnd w:id="11"/>
            <w:r w:rsidR="00D5684B" w:rsidRPr="002F6A28">
              <w:rPr>
                <w:bCs/>
              </w:rPr>
              <w:t xml:space="preserve"> </w:t>
            </w:r>
            <w:bookmarkStart w:id="12" w:name="sps9b"/>
            <w:bookmarkEnd w:id="12"/>
          </w:p>
        </w:tc>
      </w:tr>
      <w:tr w:rsidR="00594ADD" w:rsidTr="0069259F">
        <w:tc>
          <w:tcPr>
            <w:tcW w:w="713" w:type="dxa"/>
            <w:tcBorders>
              <w:top w:val="single" w:sz="6" w:space="0" w:color="auto"/>
              <w:bottom w:val="single" w:sz="6" w:space="0" w:color="auto"/>
            </w:tcBorders>
            <w:shd w:val="clear" w:color="auto" w:fill="auto"/>
          </w:tcPr>
          <w:p w:rsidR="00EE3A11" w:rsidRPr="002F6A28" w:rsidRDefault="00D5684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5684B" w:rsidP="00D5684B">
            <w:pPr>
              <w:spacing w:before="120" w:after="120"/>
            </w:pPr>
            <w:r w:rsidRPr="002F6A28">
              <w:rPr>
                <w:b/>
              </w:rPr>
              <w:t>Proposed date of adoption:</w:t>
            </w:r>
            <w:bookmarkStart w:id="13" w:name="sps10b"/>
            <w:r w:rsidR="00C33420" w:rsidRPr="002F6A28">
              <w:rPr>
                <w:b/>
              </w:rPr>
              <w:t xml:space="preserve"> </w:t>
            </w:r>
            <w:r w:rsidRPr="002F6A28">
              <w:t>February 2019</w:t>
            </w:r>
            <w:bookmarkEnd w:id="13"/>
          </w:p>
          <w:p w:rsidR="00EE3A11" w:rsidRPr="002F6A28" w:rsidRDefault="00D5684B" w:rsidP="00D5684B">
            <w:pPr>
              <w:spacing w:after="120"/>
            </w:pPr>
            <w:r w:rsidRPr="002F6A28">
              <w:rPr>
                <w:b/>
              </w:rPr>
              <w:t>Proposed date of entry into force:</w:t>
            </w:r>
            <w:bookmarkStart w:id="14" w:name="sps11b"/>
            <w:r w:rsidR="00C33420" w:rsidRPr="002F6A28">
              <w:rPr>
                <w:b/>
              </w:rPr>
              <w:t xml:space="preserve"> </w:t>
            </w:r>
            <w:r w:rsidRPr="002F6A28">
              <w:t>20 days from publication in the Official Journal of the EU. The provisions shall apply from 1 April 2021</w:t>
            </w:r>
            <w:bookmarkEnd w:id="14"/>
          </w:p>
        </w:tc>
      </w:tr>
      <w:tr w:rsidR="00594ADD" w:rsidTr="0069259F">
        <w:tc>
          <w:tcPr>
            <w:tcW w:w="713" w:type="dxa"/>
            <w:tcBorders>
              <w:top w:val="single" w:sz="6" w:space="0" w:color="auto"/>
              <w:bottom w:val="single" w:sz="6" w:space="0" w:color="auto"/>
            </w:tcBorders>
            <w:shd w:val="clear" w:color="auto" w:fill="auto"/>
          </w:tcPr>
          <w:p w:rsidR="00F85C99" w:rsidRPr="002F6A28" w:rsidRDefault="00D5684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5684B" w:rsidP="00D5684B">
            <w:pPr>
              <w:spacing w:before="120" w:after="120"/>
            </w:pPr>
            <w:r w:rsidRPr="002F6A28">
              <w:rPr>
                <w:b/>
              </w:rPr>
              <w:t xml:space="preserve">Final date for comments: </w:t>
            </w:r>
            <w:r>
              <w:t>60 days from notification</w:t>
            </w:r>
            <w:bookmarkStart w:id="15" w:name="sps12a"/>
            <w:bookmarkEnd w:id="15"/>
          </w:p>
        </w:tc>
      </w:tr>
      <w:tr w:rsidR="00594ADD" w:rsidTr="0069259F">
        <w:tc>
          <w:tcPr>
            <w:tcW w:w="713" w:type="dxa"/>
            <w:tcBorders>
              <w:top w:val="single" w:sz="6" w:space="0" w:color="auto"/>
            </w:tcBorders>
            <w:shd w:val="clear" w:color="auto" w:fill="auto"/>
          </w:tcPr>
          <w:p w:rsidR="00F85C99" w:rsidRPr="002F6A28" w:rsidRDefault="00D5684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5684B" w:rsidP="00E969D2">
            <w:pPr>
              <w:keepNext/>
              <w:keepLines/>
              <w:spacing w:before="120" w:after="120"/>
            </w:pPr>
            <w:r w:rsidRPr="002F6A28">
              <w:rPr>
                <w:b/>
              </w:rPr>
              <w:t xml:space="preserve">Texts available from: National enquiry point </w:t>
            </w:r>
            <w:proofErr w:type="gramStart"/>
            <w:r w:rsidRPr="002F6A28">
              <w:rPr>
                <w:b/>
              </w:rPr>
              <w:t>[ ]</w:t>
            </w:r>
            <w:bookmarkStart w:id="16" w:name="sps13b"/>
            <w:bookmarkEnd w:id="16"/>
            <w:proofErr w:type="gramEnd"/>
            <w:r w:rsidRPr="002F6A28">
              <w:rPr>
                <w:b/>
              </w:rPr>
              <w:t xml:space="preserve"> or address, telephone and fax numbers and email and website addresses, if available, of other body:</w:t>
            </w:r>
            <w:r w:rsidRPr="002F6A28">
              <w:t xml:space="preserve"> </w:t>
            </w:r>
          </w:p>
          <w:p w:rsidR="00C33420" w:rsidRPr="00C33420" w:rsidRDefault="00D5684B" w:rsidP="00E969D2">
            <w:pPr>
              <w:keepNext/>
              <w:keepLines/>
              <w:spacing w:after="120"/>
              <w:jc w:val="left"/>
              <w:rPr>
                <w:lang w:val="fr-CH"/>
              </w:rPr>
            </w:pPr>
            <w:proofErr w:type="spellStart"/>
            <w:r w:rsidRPr="00C33420">
              <w:rPr>
                <w:lang w:val="fr-CH"/>
              </w:rPr>
              <w:t>European</w:t>
            </w:r>
            <w:proofErr w:type="spellEnd"/>
            <w:r w:rsidRPr="00C33420">
              <w:rPr>
                <w:lang w:val="fr-CH"/>
              </w:rPr>
              <w:t xml:space="preserve"> Commission</w:t>
            </w:r>
            <w:r w:rsidRPr="00C33420">
              <w:rPr>
                <w:lang w:val="fr-CH"/>
              </w:rPr>
              <w:br/>
              <w:t>EU-</w:t>
            </w:r>
            <w:proofErr w:type="spellStart"/>
            <w:r w:rsidRPr="00C33420">
              <w:rPr>
                <w:lang w:val="fr-CH"/>
              </w:rPr>
              <w:t>TBT</w:t>
            </w:r>
            <w:proofErr w:type="spellEnd"/>
            <w:r w:rsidRPr="00C33420">
              <w:rPr>
                <w:lang w:val="fr-CH"/>
              </w:rPr>
              <w:t xml:space="preserve"> </w:t>
            </w:r>
            <w:proofErr w:type="spellStart"/>
            <w:r w:rsidRPr="00C33420">
              <w:rPr>
                <w:lang w:val="fr-CH"/>
              </w:rPr>
              <w:t>Enquiry</w:t>
            </w:r>
            <w:proofErr w:type="spellEnd"/>
            <w:r w:rsidRPr="00C33420">
              <w:rPr>
                <w:lang w:val="fr-CH"/>
              </w:rPr>
              <w:t xml:space="preserve"> Point</w:t>
            </w:r>
            <w:r w:rsidRPr="00C33420">
              <w:rPr>
                <w:lang w:val="fr-CH"/>
              </w:rPr>
              <w:br/>
            </w:r>
            <w:proofErr w:type="gramStart"/>
            <w:r w:rsidRPr="00C33420">
              <w:rPr>
                <w:lang w:val="fr-CH"/>
              </w:rPr>
              <w:t>Fax:</w:t>
            </w:r>
            <w:proofErr w:type="gramEnd"/>
            <w:r w:rsidRPr="00C33420">
              <w:rPr>
                <w:lang w:val="fr-CH"/>
              </w:rPr>
              <w:t xml:space="preserve"> + (32) 2 299 80 43</w:t>
            </w:r>
            <w:r w:rsidRPr="00C33420">
              <w:rPr>
                <w:lang w:val="fr-CH"/>
              </w:rPr>
              <w:br/>
              <w:t xml:space="preserve">E-mail: </w:t>
            </w:r>
            <w:hyperlink r:id="rId12" w:history="1">
              <w:r w:rsidRPr="00C33420">
                <w:rPr>
                  <w:color w:val="0000FF"/>
                  <w:u w:val="single"/>
                  <w:lang w:val="fr-CH"/>
                </w:rPr>
                <w:t>grow-eu-tbt@ec.europa.eu</w:t>
              </w:r>
            </w:hyperlink>
          </w:p>
          <w:p w:rsidR="00B73AB3" w:rsidRDefault="00D5684B" w:rsidP="00E969D2">
            <w:pPr>
              <w:keepNext/>
              <w:keepLines/>
              <w:spacing w:after="120"/>
              <w:jc w:val="left"/>
            </w:pPr>
            <w:r>
              <w:t xml:space="preserve">The text is available on the EU-TBT Website: </w:t>
            </w:r>
          </w:p>
          <w:p w:rsidR="00C33420" w:rsidRDefault="00E4173D" w:rsidP="00E969D2">
            <w:pPr>
              <w:keepNext/>
              <w:keepLines/>
              <w:spacing w:after="120"/>
              <w:jc w:val="left"/>
            </w:pPr>
            <w:hyperlink r:id="rId13" w:tgtFrame="_blank" w:history="1">
              <w:r w:rsidR="00D5684B">
                <w:rPr>
                  <w:color w:val="0000FF"/>
                  <w:u w:val="single"/>
                </w:rPr>
                <w:t>http://ec.europa.eu/growth/tools-databases/tbt/en/</w:t>
              </w:r>
            </w:hyperlink>
          </w:p>
          <w:p w:rsidR="00F85C99" w:rsidRPr="002F6A28" w:rsidRDefault="00E4173D" w:rsidP="00E969D2">
            <w:pPr>
              <w:keepNext/>
              <w:keepLines/>
              <w:spacing w:after="120"/>
              <w:jc w:val="left"/>
            </w:pPr>
            <w:hyperlink r:id="rId14" w:tgtFrame="_blank" w:history="1">
              <w:r w:rsidR="00D5684B">
                <w:rPr>
                  <w:color w:val="0000FF"/>
                  <w:u w:val="single"/>
                </w:rPr>
                <w:t>https://members.wto.org/crnattachments/2018/TBT/EEC/18_5273_00_e.pdf</w:t>
              </w:r>
            </w:hyperlink>
          </w:p>
          <w:p w:rsidR="00594ADD" w:rsidRDefault="00E4173D">
            <w:pPr>
              <w:spacing w:after="120"/>
              <w:jc w:val="left"/>
            </w:pPr>
            <w:hyperlink r:id="rId15" w:tgtFrame="_blank" w:history="1">
              <w:r w:rsidR="00D5684B">
                <w:rPr>
                  <w:color w:val="0000FF"/>
                  <w:u w:val="single"/>
                </w:rPr>
                <w:t>https://members.wto.org/crnattachments/2018/TBT/EEC/18_5273_01_e.pdf</w:t>
              </w:r>
            </w:hyperlink>
            <w:bookmarkStart w:id="17" w:name="sps13c"/>
            <w:bookmarkEnd w:id="17"/>
          </w:p>
        </w:tc>
      </w:tr>
    </w:tbl>
    <w:p w:rsidR="00EE3A11" w:rsidRPr="002F6A28" w:rsidRDefault="00E4173D" w:rsidP="002F6A28"/>
    <w:sectPr w:rsidR="00EE3A11" w:rsidRPr="002F6A28" w:rsidSect="00B61B12">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A1B" w:rsidRDefault="00D5684B">
      <w:r>
        <w:separator/>
      </w:r>
    </w:p>
  </w:endnote>
  <w:endnote w:type="continuationSeparator" w:id="0">
    <w:p w:rsidR="00221A1B" w:rsidRDefault="00D5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61B12" w:rsidRDefault="00B61B12" w:rsidP="00B61B1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61B12" w:rsidRDefault="00B61B12" w:rsidP="00B61B1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5684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A1B" w:rsidRDefault="00D5684B">
      <w:r>
        <w:separator/>
      </w:r>
    </w:p>
  </w:footnote>
  <w:footnote w:type="continuationSeparator" w:id="0">
    <w:p w:rsidR="00221A1B" w:rsidRDefault="00D5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12" w:rsidRPr="00B61B12" w:rsidRDefault="00B61B12" w:rsidP="00B61B12">
    <w:pPr>
      <w:pStyle w:val="En-tte"/>
      <w:pBdr>
        <w:bottom w:val="single" w:sz="4" w:space="1" w:color="auto"/>
      </w:pBdr>
      <w:tabs>
        <w:tab w:val="clear" w:pos="4513"/>
        <w:tab w:val="clear" w:pos="9027"/>
      </w:tabs>
      <w:jc w:val="center"/>
    </w:pPr>
    <w:r w:rsidRPr="00B61B12">
      <w:t>G/TBT/N/EU/609</w:t>
    </w:r>
  </w:p>
  <w:p w:rsidR="00B61B12" w:rsidRPr="00B61B12" w:rsidRDefault="00B61B12" w:rsidP="00B61B12">
    <w:pPr>
      <w:pStyle w:val="En-tte"/>
      <w:pBdr>
        <w:bottom w:val="single" w:sz="4" w:space="1" w:color="auto"/>
      </w:pBdr>
      <w:tabs>
        <w:tab w:val="clear" w:pos="4513"/>
        <w:tab w:val="clear" w:pos="9027"/>
      </w:tabs>
      <w:jc w:val="center"/>
    </w:pPr>
  </w:p>
  <w:p w:rsidR="00B61B12" w:rsidRPr="00B61B12" w:rsidRDefault="00B61B12" w:rsidP="00B61B12">
    <w:pPr>
      <w:pStyle w:val="En-tte"/>
      <w:pBdr>
        <w:bottom w:val="single" w:sz="4" w:space="1" w:color="auto"/>
      </w:pBdr>
      <w:tabs>
        <w:tab w:val="clear" w:pos="4513"/>
        <w:tab w:val="clear" w:pos="9027"/>
      </w:tabs>
      <w:jc w:val="center"/>
    </w:pPr>
    <w:r w:rsidRPr="00B61B12">
      <w:t xml:space="preserve">- </w:t>
    </w:r>
    <w:r w:rsidRPr="00B61B12">
      <w:fldChar w:fldCharType="begin"/>
    </w:r>
    <w:r w:rsidRPr="00B61B12">
      <w:instrText xml:space="preserve"> PAGE </w:instrText>
    </w:r>
    <w:r w:rsidRPr="00B61B12">
      <w:fldChar w:fldCharType="separate"/>
    </w:r>
    <w:r w:rsidR="00E4173D">
      <w:rPr>
        <w:noProof/>
      </w:rPr>
      <w:t>2</w:t>
    </w:r>
    <w:r w:rsidRPr="00B61B12">
      <w:fldChar w:fldCharType="end"/>
    </w:r>
    <w:r w:rsidRPr="00B61B12">
      <w:t xml:space="preserve"> -</w:t>
    </w:r>
  </w:p>
  <w:p w:rsidR="009239F7" w:rsidRPr="00B61B12" w:rsidRDefault="00E4173D" w:rsidP="00B61B1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12" w:rsidRPr="00B61B12" w:rsidRDefault="00B61B12" w:rsidP="00B61B12">
    <w:pPr>
      <w:pStyle w:val="En-tte"/>
      <w:pBdr>
        <w:bottom w:val="single" w:sz="4" w:space="1" w:color="auto"/>
      </w:pBdr>
      <w:tabs>
        <w:tab w:val="clear" w:pos="4513"/>
        <w:tab w:val="clear" w:pos="9027"/>
      </w:tabs>
      <w:jc w:val="center"/>
    </w:pPr>
    <w:r w:rsidRPr="00B61B12">
      <w:t>G/TBT/N/EU/609</w:t>
    </w:r>
  </w:p>
  <w:p w:rsidR="00B61B12" w:rsidRPr="00B61B12" w:rsidRDefault="00B61B12" w:rsidP="00B61B12">
    <w:pPr>
      <w:pStyle w:val="En-tte"/>
      <w:pBdr>
        <w:bottom w:val="single" w:sz="4" w:space="1" w:color="auto"/>
      </w:pBdr>
      <w:tabs>
        <w:tab w:val="clear" w:pos="4513"/>
        <w:tab w:val="clear" w:pos="9027"/>
      </w:tabs>
      <w:jc w:val="center"/>
    </w:pPr>
  </w:p>
  <w:p w:rsidR="00B61B12" w:rsidRPr="00B61B12" w:rsidRDefault="00B61B12" w:rsidP="00B61B12">
    <w:pPr>
      <w:pStyle w:val="En-tte"/>
      <w:pBdr>
        <w:bottom w:val="single" w:sz="4" w:space="1" w:color="auto"/>
      </w:pBdr>
      <w:tabs>
        <w:tab w:val="clear" w:pos="4513"/>
        <w:tab w:val="clear" w:pos="9027"/>
      </w:tabs>
      <w:jc w:val="center"/>
    </w:pPr>
    <w:r w:rsidRPr="00B61B12">
      <w:t xml:space="preserve">- </w:t>
    </w:r>
    <w:r w:rsidRPr="00B61B12">
      <w:fldChar w:fldCharType="begin"/>
    </w:r>
    <w:r w:rsidRPr="00B61B12">
      <w:instrText xml:space="preserve"> PAGE </w:instrText>
    </w:r>
    <w:r w:rsidRPr="00B61B12">
      <w:fldChar w:fldCharType="separate"/>
    </w:r>
    <w:r w:rsidRPr="00B61B12">
      <w:rPr>
        <w:noProof/>
      </w:rPr>
      <w:t>2</w:t>
    </w:r>
    <w:r w:rsidRPr="00B61B12">
      <w:fldChar w:fldCharType="end"/>
    </w:r>
    <w:r w:rsidRPr="00B61B12">
      <w:t xml:space="preserve"> -</w:t>
    </w:r>
  </w:p>
  <w:p w:rsidR="009239F7" w:rsidRPr="00B61B12" w:rsidRDefault="00E4173D" w:rsidP="00B61B1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4ADD" w:rsidTr="008612A9">
      <w:trPr>
        <w:trHeight w:val="240"/>
        <w:jc w:val="center"/>
      </w:trPr>
      <w:tc>
        <w:tcPr>
          <w:tcW w:w="3794" w:type="dxa"/>
          <w:shd w:val="clear" w:color="auto" w:fill="FFFFFF"/>
          <w:tcMar>
            <w:left w:w="108" w:type="dxa"/>
            <w:right w:w="108" w:type="dxa"/>
          </w:tcMar>
          <w:vAlign w:val="center"/>
        </w:tcPr>
        <w:p w:rsidR="00ED54E0" w:rsidRPr="009239F7" w:rsidRDefault="00E4173D"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B61B12" w:rsidP="00B801E9">
          <w:pPr>
            <w:jc w:val="right"/>
            <w:rPr>
              <w:b/>
              <w:color w:val="FF0000"/>
              <w:szCs w:val="16"/>
            </w:rPr>
          </w:pPr>
          <w:r>
            <w:rPr>
              <w:b/>
              <w:color w:val="FF0000"/>
              <w:szCs w:val="16"/>
            </w:rPr>
            <w:t xml:space="preserve"> </w:t>
          </w:r>
        </w:p>
      </w:tc>
    </w:tr>
    <w:bookmarkEnd w:id="18"/>
    <w:tr w:rsidR="00594ADD" w:rsidTr="008612A9">
      <w:trPr>
        <w:trHeight w:val="213"/>
        <w:jc w:val="center"/>
      </w:trPr>
      <w:tc>
        <w:tcPr>
          <w:tcW w:w="3794" w:type="dxa"/>
          <w:vMerge w:val="restart"/>
          <w:shd w:val="clear" w:color="auto" w:fill="FFFFFF"/>
          <w:tcMar>
            <w:left w:w="0" w:type="dxa"/>
            <w:right w:w="0" w:type="dxa"/>
          </w:tcMar>
        </w:tcPr>
        <w:p w:rsidR="00ED54E0" w:rsidRPr="009239F7" w:rsidRDefault="00B61B1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4173D" w:rsidP="00B801E9">
          <w:pPr>
            <w:jc w:val="right"/>
            <w:rPr>
              <w:b/>
              <w:szCs w:val="16"/>
            </w:rPr>
          </w:pPr>
        </w:p>
      </w:tc>
    </w:tr>
    <w:tr w:rsidR="00594ADD" w:rsidTr="008612A9">
      <w:trPr>
        <w:trHeight w:val="868"/>
        <w:jc w:val="center"/>
      </w:trPr>
      <w:tc>
        <w:tcPr>
          <w:tcW w:w="3794" w:type="dxa"/>
          <w:vMerge/>
          <w:shd w:val="clear" w:color="auto" w:fill="FFFFFF"/>
          <w:tcMar>
            <w:left w:w="108" w:type="dxa"/>
            <w:right w:w="108" w:type="dxa"/>
          </w:tcMar>
        </w:tcPr>
        <w:p w:rsidR="00ED54E0" w:rsidRPr="009239F7" w:rsidRDefault="00E4173D" w:rsidP="00B801E9">
          <w:pPr>
            <w:jc w:val="left"/>
            <w:rPr>
              <w:noProof/>
              <w:lang w:eastAsia="en-GB"/>
            </w:rPr>
          </w:pPr>
        </w:p>
      </w:tc>
      <w:tc>
        <w:tcPr>
          <w:tcW w:w="5448" w:type="dxa"/>
          <w:gridSpan w:val="2"/>
          <w:shd w:val="clear" w:color="auto" w:fill="FFFFFF"/>
          <w:tcMar>
            <w:left w:w="108" w:type="dxa"/>
            <w:right w:w="108" w:type="dxa"/>
          </w:tcMar>
        </w:tcPr>
        <w:p w:rsidR="00B61B12" w:rsidRDefault="00B61B12" w:rsidP="00B801E9">
          <w:pPr>
            <w:jc w:val="right"/>
            <w:rPr>
              <w:b/>
              <w:szCs w:val="16"/>
            </w:rPr>
          </w:pPr>
          <w:bookmarkStart w:id="19" w:name="bmkSymbols"/>
          <w:r>
            <w:rPr>
              <w:b/>
              <w:szCs w:val="16"/>
            </w:rPr>
            <w:t>G/TBT/N/EU/609</w:t>
          </w:r>
        </w:p>
        <w:bookmarkEnd w:id="19"/>
        <w:p w:rsidR="00ED54E0" w:rsidRPr="009239F7" w:rsidRDefault="00E4173D" w:rsidP="00B801E9">
          <w:pPr>
            <w:jc w:val="right"/>
            <w:rPr>
              <w:b/>
              <w:szCs w:val="16"/>
            </w:rPr>
          </w:pPr>
        </w:p>
      </w:tc>
    </w:tr>
    <w:tr w:rsidR="00594ADD" w:rsidTr="008612A9">
      <w:trPr>
        <w:trHeight w:val="240"/>
        <w:jc w:val="center"/>
      </w:trPr>
      <w:tc>
        <w:tcPr>
          <w:tcW w:w="3794" w:type="dxa"/>
          <w:vMerge/>
          <w:shd w:val="clear" w:color="auto" w:fill="FFFFFF"/>
          <w:tcMar>
            <w:left w:w="108" w:type="dxa"/>
            <w:right w:w="108" w:type="dxa"/>
          </w:tcMar>
          <w:vAlign w:val="center"/>
        </w:tcPr>
        <w:p w:rsidR="00ED54E0" w:rsidRPr="009239F7" w:rsidRDefault="00E4173D" w:rsidP="00B801E9"/>
      </w:tc>
      <w:tc>
        <w:tcPr>
          <w:tcW w:w="5448" w:type="dxa"/>
          <w:gridSpan w:val="2"/>
          <w:shd w:val="clear" w:color="auto" w:fill="FFFFFF"/>
          <w:tcMar>
            <w:left w:w="108" w:type="dxa"/>
            <w:right w:w="108" w:type="dxa"/>
          </w:tcMar>
          <w:vAlign w:val="center"/>
        </w:tcPr>
        <w:p w:rsidR="00ED54E0" w:rsidRPr="009239F7" w:rsidRDefault="00E4173D" w:rsidP="00B801E9">
          <w:pPr>
            <w:jc w:val="right"/>
            <w:rPr>
              <w:szCs w:val="16"/>
            </w:rPr>
          </w:pPr>
          <w:bookmarkStart w:id="20" w:name="spsDateDistribution"/>
          <w:bookmarkStart w:id="21" w:name="bmkDate"/>
          <w:bookmarkEnd w:id="20"/>
          <w:bookmarkEnd w:id="21"/>
          <w:r>
            <w:rPr>
              <w:szCs w:val="16"/>
            </w:rPr>
            <w:t xml:space="preserve">9 October </w:t>
          </w:r>
          <w:r>
            <w:rPr>
              <w:szCs w:val="16"/>
            </w:rPr>
            <w:t>2018</w:t>
          </w:r>
          <w:bookmarkStart w:id="22" w:name="_GoBack"/>
          <w:bookmarkEnd w:id="22"/>
        </w:p>
      </w:tc>
    </w:tr>
    <w:tr w:rsidR="00594AD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5684B" w:rsidP="0097650D">
          <w:pPr>
            <w:jc w:val="left"/>
            <w:rPr>
              <w:b/>
            </w:rPr>
          </w:pPr>
          <w:bookmarkStart w:id="23" w:name="bmkSerial"/>
          <w:r w:rsidRPr="002F6A28">
            <w:rPr>
              <w:color w:val="FF0000"/>
              <w:szCs w:val="16"/>
            </w:rPr>
            <w:t>(</w:t>
          </w:r>
          <w:bookmarkStart w:id="24" w:name="spsSerialNumber"/>
          <w:bookmarkEnd w:id="24"/>
          <w:r w:rsidR="00E4173D">
            <w:rPr>
              <w:color w:val="FF0000"/>
              <w:szCs w:val="16"/>
            </w:rPr>
            <w:t>18-6242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D5684B"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4173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4173D">
            <w:rPr>
              <w:bCs/>
              <w:noProof/>
              <w:szCs w:val="16"/>
            </w:rPr>
            <w:t>2</w:t>
          </w:r>
          <w:r w:rsidRPr="002F6A28">
            <w:rPr>
              <w:bCs/>
              <w:szCs w:val="16"/>
            </w:rPr>
            <w:fldChar w:fldCharType="end"/>
          </w:r>
          <w:bookmarkEnd w:id="25"/>
        </w:p>
      </w:tc>
    </w:tr>
    <w:tr w:rsidR="00594AD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61B12"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B61B12" w:rsidP="00B801E9">
          <w:pPr>
            <w:jc w:val="right"/>
            <w:rPr>
              <w:bCs/>
              <w:szCs w:val="18"/>
            </w:rPr>
          </w:pPr>
          <w:bookmarkStart w:id="27" w:name="bmkLanguage"/>
          <w:r>
            <w:rPr>
              <w:bCs/>
              <w:szCs w:val="18"/>
            </w:rPr>
            <w:t>Original: English</w:t>
          </w:r>
          <w:bookmarkEnd w:id="27"/>
        </w:p>
      </w:tc>
    </w:tr>
  </w:tbl>
  <w:p w:rsidR="00ED54E0" w:rsidRPr="002F6A28" w:rsidRDefault="00E417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1544E5C">
      <w:start w:val="1"/>
      <w:numFmt w:val="decimal"/>
      <w:pStyle w:val="SummaryText"/>
      <w:lvlText w:val="%1."/>
      <w:lvlJc w:val="left"/>
      <w:pPr>
        <w:ind w:left="360" w:hanging="360"/>
      </w:pPr>
    </w:lvl>
    <w:lvl w:ilvl="1" w:tplc="B0BED6D4" w:tentative="1">
      <w:start w:val="1"/>
      <w:numFmt w:val="lowerLetter"/>
      <w:lvlText w:val="%2."/>
      <w:lvlJc w:val="left"/>
      <w:pPr>
        <w:ind w:left="1080" w:hanging="360"/>
      </w:pPr>
    </w:lvl>
    <w:lvl w:ilvl="2" w:tplc="36CE048C" w:tentative="1">
      <w:start w:val="1"/>
      <w:numFmt w:val="lowerRoman"/>
      <w:lvlText w:val="%3."/>
      <w:lvlJc w:val="right"/>
      <w:pPr>
        <w:ind w:left="1800" w:hanging="180"/>
      </w:pPr>
    </w:lvl>
    <w:lvl w:ilvl="3" w:tplc="DBC80176" w:tentative="1">
      <w:start w:val="1"/>
      <w:numFmt w:val="decimal"/>
      <w:lvlText w:val="%4."/>
      <w:lvlJc w:val="left"/>
      <w:pPr>
        <w:ind w:left="2520" w:hanging="360"/>
      </w:pPr>
    </w:lvl>
    <w:lvl w:ilvl="4" w:tplc="7444DEDE" w:tentative="1">
      <w:start w:val="1"/>
      <w:numFmt w:val="lowerLetter"/>
      <w:lvlText w:val="%5."/>
      <w:lvlJc w:val="left"/>
      <w:pPr>
        <w:ind w:left="3240" w:hanging="360"/>
      </w:pPr>
    </w:lvl>
    <w:lvl w:ilvl="5" w:tplc="6E88DFD6" w:tentative="1">
      <w:start w:val="1"/>
      <w:numFmt w:val="lowerRoman"/>
      <w:lvlText w:val="%6."/>
      <w:lvlJc w:val="right"/>
      <w:pPr>
        <w:ind w:left="3960" w:hanging="180"/>
      </w:pPr>
    </w:lvl>
    <w:lvl w:ilvl="6" w:tplc="C79C4302" w:tentative="1">
      <w:start w:val="1"/>
      <w:numFmt w:val="decimal"/>
      <w:lvlText w:val="%7."/>
      <w:lvlJc w:val="left"/>
      <w:pPr>
        <w:ind w:left="4680" w:hanging="360"/>
      </w:pPr>
    </w:lvl>
    <w:lvl w:ilvl="7" w:tplc="1F52012C" w:tentative="1">
      <w:start w:val="1"/>
      <w:numFmt w:val="lowerLetter"/>
      <w:lvlText w:val="%8."/>
      <w:lvlJc w:val="left"/>
      <w:pPr>
        <w:ind w:left="5400" w:hanging="360"/>
      </w:pPr>
    </w:lvl>
    <w:lvl w:ilvl="8" w:tplc="59C2F7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DD"/>
    <w:rsid w:val="00221A1B"/>
    <w:rsid w:val="003760FF"/>
    <w:rsid w:val="00594ADD"/>
    <w:rsid w:val="00B61B12"/>
    <w:rsid w:val="00B73AB3"/>
    <w:rsid w:val="00C33420"/>
    <w:rsid w:val="00D5684B"/>
    <w:rsid w:val="00E4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C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5L0032:EN:NOT"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ec.europa.eu/growth/tools-databases/tbt/en/" TargetMode="Externa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2009R0642" TargetMode="External"/><Relationship Id="rId5" Type="http://schemas.openxmlformats.org/officeDocument/2006/relationships/footnotes" Target="footnotes.xml"/><Relationship Id="rId15" Type="http://schemas.openxmlformats.org/officeDocument/2006/relationships/hyperlink" Target="https://members.wto.org/crnattachments/2018/TBT/EEC/18_5273_01_e.pdf" TargetMode="External"/><Relationship Id="rId23" Type="http://schemas.openxmlformats.org/officeDocument/2006/relationships/theme" Target="theme/theme1.xml"/><Relationship Id="rId10" Type="http://schemas.openxmlformats.org/officeDocument/2006/relationships/hyperlink" Target="https://eur-lex.europa.eu/legal-content/EN/TXT/?uri=CELEX:02009R0642-2013091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lex.europa.eu/LexUriServ/LexUriServ.do?uri=OJ:L:2009:285:0010:0035:en:PDF" TargetMode="External"/><Relationship Id="rId14" Type="http://schemas.openxmlformats.org/officeDocument/2006/relationships/hyperlink" Target="https://members.wto.org/crnattachments/2018/TBT/EEC/18_5273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2018-10-09T08:17:00Z</dcterms:created>
  <dcterms:modified xsi:type="dcterms:W3CDTF">2018-10-09T13:13:00Z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G/TBT/N/EU/609</vt:lpwstr>
  </property>
</Properties>
</file>